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cstheme="majorHAnsi"/>
          <w:b/>
          <w:sz w:val="44"/>
          <w:szCs w:val="44"/>
        </w:rPr>
      </w:pPr>
      <w:r>
        <w:rPr>
          <w:noProof/>
          <w:lang w:eastAsia="de-DE"/>
        </w:rPr>
        <w:drawing>
          <wp:anchor distT="0" distB="0" distL="114300" distR="114300" simplePos="0" relativeHeight="251658240" behindDoc="0" locked="0" layoutInCell="1" allowOverlap="1">
            <wp:simplePos x="0" y="0"/>
            <wp:positionH relativeFrom="column">
              <wp:posOffset>4545928</wp:posOffset>
            </wp:positionH>
            <wp:positionV relativeFrom="paragraph">
              <wp:posOffset>8628</wp:posOffset>
            </wp:positionV>
            <wp:extent cx="1871345" cy="914400"/>
            <wp:effectExtent l="0" t="0" r="0" b="0"/>
            <wp:wrapNone/>
            <wp:docPr id="4" name="Grafik 4" descr="Beschreibung: LU_Logo_Wortmarke_sw_14cm_f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LU_Logo_Wortmarke_sw_14cm_fre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center"/>
        <w:rPr>
          <w:rFonts w:cstheme="majorHAnsi"/>
          <w:b/>
          <w:sz w:val="44"/>
          <w:szCs w:val="44"/>
        </w:rPr>
      </w:pPr>
    </w:p>
    <w:p>
      <w:pPr>
        <w:jc w:val="center"/>
        <w:rPr>
          <w:rFonts w:cstheme="majorHAnsi"/>
          <w:b/>
          <w:sz w:val="44"/>
          <w:szCs w:val="44"/>
        </w:rPr>
      </w:pPr>
    </w:p>
    <w:p>
      <w:pPr>
        <w:jc w:val="center"/>
        <w:rPr>
          <w:rFonts w:cstheme="majorHAnsi"/>
          <w:b/>
          <w:sz w:val="44"/>
          <w:szCs w:val="44"/>
        </w:rPr>
      </w:pPr>
      <w:r>
        <w:rPr>
          <w:rFonts w:cstheme="majorHAnsi"/>
          <w:b/>
          <w:sz w:val="44"/>
          <w:szCs w:val="44"/>
        </w:rPr>
        <w:t>Vertrag</w:t>
      </w:r>
    </w:p>
    <w:p>
      <w:pPr>
        <w:rPr>
          <w:rFonts w:cstheme="majorHAnsi"/>
        </w:rPr>
      </w:pPr>
    </w:p>
    <w:p>
      <w:pPr>
        <w:rPr>
          <w:rFonts w:cstheme="majorHAnsi"/>
        </w:rPr>
      </w:pPr>
    </w:p>
    <w:p>
      <w:pPr>
        <w:jc w:val="center"/>
        <w:rPr>
          <w:rFonts w:cstheme="majorHAnsi"/>
        </w:rPr>
      </w:pPr>
      <w:r>
        <w:rPr>
          <w:rFonts w:cstheme="majorHAnsi"/>
        </w:rPr>
        <w:t>Zwischen</w:t>
      </w:r>
    </w:p>
    <w:p>
      <w:pPr>
        <w:jc w:val="center"/>
        <w:rPr>
          <w:rFonts w:cstheme="majorHAnsi"/>
          <w:i/>
        </w:rPr>
      </w:pPr>
      <w:r>
        <w:rPr>
          <w:rFonts w:cstheme="majorHAnsi"/>
          <w:i/>
        </w:rPr>
        <w:t>Stadtverwaltung Ludwigshafen</w:t>
      </w:r>
    </w:p>
    <w:p>
      <w:pPr>
        <w:jc w:val="center"/>
        <w:rPr>
          <w:rFonts w:cstheme="majorHAnsi"/>
          <w:i/>
        </w:rPr>
      </w:pPr>
      <w:r>
        <w:rPr>
          <w:rFonts w:cstheme="majorHAnsi"/>
          <w:i/>
        </w:rPr>
        <w:t xml:space="preserve">- vertreten durch den Oberbürgermeister - </w:t>
      </w:r>
    </w:p>
    <w:p>
      <w:pPr>
        <w:jc w:val="center"/>
        <w:rPr>
          <w:rFonts w:cstheme="majorHAnsi"/>
          <w:i/>
        </w:rPr>
      </w:pPr>
      <w:r>
        <w:rPr>
          <w:rFonts w:cstheme="majorHAnsi"/>
          <w:i/>
        </w:rPr>
        <w:t>Bismarckstraße 25</w:t>
      </w:r>
    </w:p>
    <w:p>
      <w:pPr>
        <w:jc w:val="center"/>
        <w:rPr>
          <w:rFonts w:cstheme="majorHAnsi"/>
          <w:i/>
        </w:rPr>
      </w:pPr>
      <w:r>
        <w:rPr>
          <w:rFonts w:cstheme="majorHAnsi"/>
          <w:i/>
        </w:rPr>
        <w:t>67059 Ludwigshafen</w:t>
      </w:r>
    </w:p>
    <w:p>
      <w:pPr>
        <w:jc w:val="center"/>
        <w:rPr>
          <w:rFonts w:cstheme="majorHAnsi"/>
        </w:rPr>
      </w:pPr>
    </w:p>
    <w:p>
      <w:pPr>
        <w:pStyle w:val="Listenabsatz"/>
        <w:numPr>
          <w:ilvl w:val="0"/>
          <w:numId w:val="2"/>
        </w:numPr>
        <w:jc w:val="center"/>
        <w:rPr>
          <w:rFonts w:cstheme="majorHAnsi"/>
        </w:rPr>
      </w:pPr>
      <w:r>
        <w:rPr>
          <w:rFonts w:cstheme="majorHAnsi"/>
        </w:rPr>
        <w:t>im Folgenden „Auftraggeberin“ genannt –</w:t>
      </w:r>
    </w:p>
    <w:p>
      <w:pPr>
        <w:jc w:val="center"/>
        <w:rPr>
          <w:rFonts w:cstheme="majorHAnsi"/>
        </w:rPr>
      </w:pPr>
    </w:p>
    <w:p>
      <w:pPr>
        <w:jc w:val="center"/>
        <w:rPr>
          <w:rFonts w:cstheme="majorHAnsi"/>
        </w:rPr>
      </w:pPr>
    </w:p>
    <w:p>
      <w:pPr>
        <w:jc w:val="center"/>
        <w:rPr>
          <w:rFonts w:cstheme="majorHAnsi"/>
        </w:rPr>
      </w:pPr>
      <w:r>
        <w:rPr>
          <w:rFonts w:cstheme="majorHAnsi"/>
        </w:rPr>
        <w:t xml:space="preserve">und </w:t>
      </w:r>
    </w:p>
    <w:p>
      <w:pPr>
        <w:jc w:val="center"/>
        <w:rPr>
          <w:rFonts w:cstheme="majorHAnsi"/>
        </w:rPr>
      </w:pPr>
      <w:permStart w:id="13969466" w:edGrp="everyone"/>
      <w:r>
        <w:drawing>
          <wp:inline distT="0" distB="0" distL="0" distR="0">
            <wp:extent cx="5751555" cy="641268"/>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7274" cy="649710"/>
                    </a:xfrm>
                    <a:prstGeom prst="rect">
                      <a:avLst/>
                    </a:prstGeom>
                    <a:noFill/>
                    <a:ln>
                      <a:noFill/>
                    </a:ln>
                  </pic:spPr>
                </pic:pic>
              </a:graphicData>
            </a:graphic>
          </wp:inline>
        </w:drawing>
      </w:r>
      <w:permEnd w:id="13969466"/>
      <w:r>
        <w:rPr>
          <w:rFonts w:cstheme="majorHAnsi"/>
        </w:rPr>
        <w:t xml:space="preserve"> </w:t>
      </w:r>
    </w:p>
    <w:p>
      <w:pPr>
        <w:jc w:val="center"/>
        <w:rPr>
          <w:rFonts w:cstheme="majorHAnsi"/>
        </w:rPr>
      </w:pPr>
      <w:r>
        <w:rPr>
          <w:rFonts w:cstheme="majorHAnsi"/>
        </w:rPr>
        <w:t>(Durch Bieter Einzutragen)</w:t>
      </w:r>
    </w:p>
    <w:p>
      <w:pPr>
        <w:jc w:val="center"/>
        <w:rPr>
          <w:rFonts w:cstheme="majorHAnsi"/>
        </w:rPr>
      </w:pPr>
    </w:p>
    <w:p>
      <w:pPr>
        <w:pStyle w:val="Listenabsatz"/>
        <w:numPr>
          <w:ilvl w:val="0"/>
          <w:numId w:val="1"/>
        </w:numPr>
        <w:jc w:val="center"/>
        <w:rPr>
          <w:rFonts w:cstheme="majorHAnsi"/>
        </w:rPr>
      </w:pPr>
      <w:r>
        <w:rPr>
          <w:rFonts w:cstheme="majorHAnsi"/>
        </w:rPr>
        <w:t>Im Folgenden „Auftragnehmer“ genannt –</w:t>
      </w:r>
    </w:p>
    <w:p>
      <w:pPr>
        <w:rPr>
          <w:rFonts w:cstheme="majorHAnsi"/>
        </w:rPr>
      </w:pPr>
    </w:p>
    <w:p>
      <w:pPr>
        <w:rPr>
          <w:rFonts w:cstheme="majorHAnsi"/>
        </w:rPr>
      </w:pPr>
    </w:p>
    <w:p>
      <w:pPr>
        <w:rPr>
          <w:rFonts w:cstheme="majorHAnsi"/>
          <w:lang w:eastAsia="zh-CN"/>
        </w:rPr>
      </w:pPr>
      <w:bookmarkStart w:id="0" w:name="_Hlk528137061"/>
      <w:r>
        <w:rPr>
          <w:rFonts w:cstheme="majorHAnsi"/>
          <w:lang w:eastAsia="zh-CN"/>
        </w:rPr>
        <w:br w:type="page"/>
      </w:r>
    </w:p>
    <w:bookmarkEnd w:id="0" w:displacedByCustomXml="next"/>
    <w:sdt>
      <w:sdtPr>
        <w:rPr>
          <w:rFonts w:eastAsiaTheme="minorHAnsi" w:cstheme="minorBidi"/>
          <w:color w:val="auto"/>
          <w:sz w:val="22"/>
          <w:szCs w:val="22"/>
          <w:lang w:eastAsia="en-US"/>
        </w:rPr>
        <w:id w:val="-463741373"/>
        <w:docPartObj>
          <w:docPartGallery w:val="Table of Contents"/>
          <w:docPartUnique/>
        </w:docPartObj>
      </w:sdtPr>
      <w:sdtEndPr>
        <w:rPr>
          <w:b/>
          <w:bCs/>
        </w:rPr>
      </w:sdtEndPr>
      <w:sdtContent>
        <w:p>
          <w:pPr>
            <w:pStyle w:val="Inhaltsverzeichnisberschrift"/>
          </w:pPr>
          <w:r>
            <w:t>Inhalt</w:t>
          </w:r>
        </w:p>
        <w:p>
          <w:pPr>
            <w:pStyle w:val="Verzeichnis1"/>
            <w:tabs>
              <w:tab w:val="right" w:leader="dot" w:pos="9062"/>
            </w:tabs>
            <w:rPr>
              <w:rFonts w:asciiTheme="minorHAnsi" w:eastAsiaTheme="minorEastAsia" w:hAnsiTheme="minorHAnsi"/>
              <w:noProof/>
              <w:lang w:eastAsia="de-DE"/>
            </w:rPr>
          </w:pPr>
          <w:r>
            <w:rPr>
              <w:b/>
              <w:bCs/>
            </w:rPr>
            <w:fldChar w:fldCharType="begin"/>
          </w:r>
          <w:r>
            <w:rPr>
              <w:b/>
              <w:bCs/>
            </w:rPr>
            <w:instrText xml:space="preserve"> TOC \o "1-3" \h \z \u </w:instrText>
          </w:r>
          <w:r>
            <w:rPr>
              <w:b/>
              <w:bCs/>
            </w:rPr>
            <w:fldChar w:fldCharType="separate"/>
          </w:r>
          <w:hyperlink w:anchor="_Toc131483317" w:history="1">
            <w:r>
              <w:rPr>
                <w:rStyle w:val="Hyperlink"/>
                <w:noProof/>
              </w:rPr>
              <w:t>Präambel</w:t>
            </w:r>
            <w:r>
              <w:rPr>
                <w:noProof/>
                <w:webHidden/>
              </w:rPr>
              <w:tab/>
            </w:r>
            <w:r>
              <w:rPr>
                <w:noProof/>
                <w:webHidden/>
              </w:rPr>
              <w:fldChar w:fldCharType="begin"/>
            </w:r>
            <w:r>
              <w:rPr>
                <w:noProof/>
                <w:webHidden/>
              </w:rPr>
              <w:instrText xml:space="preserve"> PAGEREF _Toc131483317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18" w:history="1">
            <w:r>
              <w:rPr>
                <w:rStyle w:val="Hyperlink"/>
                <w:noProof/>
              </w:rPr>
              <w:t>§ 1 Gegenstand der Vertrag</w:t>
            </w:r>
            <w:r>
              <w:rPr>
                <w:noProof/>
                <w:webHidden/>
              </w:rPr>
              <w:tab/>
            </w:r>
            <w:r>
              <w:rPr>
                <w:noProof/>
                <w:webHidden/>
              </w:rPr>
              <w:fldChar w:fldCharType="begin"/>
            </w:r>
            <w:r>
              <w:rPr>
                <w:noProof/>
                <w:webHidden/>
              </w:rPr>
              <w:instrText xml:space="preserve"> PAGEREF _Toc131483318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19" w:history="1">
            <w:r>
              <w:rPr>
                <w:rStyle w:val="Hyperlink"/>
                <w:noProof/>
                <w:lang w:eastAsia="zh-CN"/>
              </w:rPr>
              <w:t>§ 2 Keine Geltung der AGB des Auftragnehmers</w:t>
            </w:r>
            <w:r>
              <w:rPr>
                <w:noProof/>
                <w:webHidden/>
              </w:rPr>
              <w:tab/>
            </w:r>
            <w:r>
              <w:rPr>
                <w:noProof/>
                <w:webHidden/>
              </w:rPr>
              <w:fldChar w:fldCharType="begin"/>
            </w:r>
            <w:r>
              <w:rPr>
                <w:noProof/>
                <w:webHidden/>
              </w:rPr>
              <w:instrText xml:space="preserve"> PAGEREF _Toc131483319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0" w:history="1">
            <w:r>
              <w:rPr>
                <w:rStyle w:val="Hyperlink"/>
                <w:noProof/>
                <w:lang w:eastAsia="zh-CN"/>
              </w:rPr>
              <w:t xml:space="preserve">§ 3 Erbringung der </w:t>
            </w:r>
            <w:r>
              <w:rPr>
                <w:rStyle w:val="Hyperlink"/>
                <w:noProof/>
              </w:rPr>
              <w:t>Leistung</w:t>
            </w:r>
            <w:r>
              <w:rPr>
                <w:noProof/>
                <w:webHidden/>
              </w:rPr>
              <w:tab/>
            </w:r>
            <w:r>
              <w:rPr>
                <w:noProof/>
                <w:webHidden/>
              </w:rPr>
              <w:fldChar w:fldCharType="begin"/>
            </w:r>
            <w:r>
              <w:rPr>
                <w:noProof/>
                <w:webHidden/>
              </w:rPr>
              <w:instrText xml:space="preserve"> PAGEREF _Toc131483320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1" w:history="1">
            <w:r>
              <w:rPr>
                <w:rStyle w:val="Hyperlink"/>
                <w:noProof/>
                <w:lang w:eastAsia="zh-CN"/>
              </w:rPr>
              <w:t xml:space="preserve">§ 4 Umfang der </w:t>
            </w:r>
            <w:r>
              <w:rPr>
                <w:rStyle w:val="Hyperlink"/>
                <w:noProof/>
              </w:rPr>
              <w:t>Leistungen</w:t>
            </w:r>
            <w:r>
              <w:rPr>
                <w:rStyle w:val="Hyperlink"/>
                <w:noProof/>
                <w:lang w:eastAsia="zh-CN"/>
              </w:rPr>
              <w:t>, Leistungsort, Leistungsfrist</w:t>
            </w:r>
            <w:r>
              <w:rPr>
                <w:noProof/>
                <w:webHidden/>
              </w:rPr>
              <w:tab/>
            </w:r>
            <w:r>
              <w:rPr>
                <w:noProof/>
                <w:webHidden/>
              </w:rPr>
              <w:fldChar w:fldCharType="begin"/>
            </w:r>
            <w:r>
              <w:rPr>
                <w:noProof/>
                <w:webHidden/>
              </w:rPr>
              <w:instrText xml:space="preserve"> PAGEREF _Toc131483321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2" w:history="1">
            <w:r>
              <w:rPr>
                <w:rStyle w:val="Hyperlink"/>
                <w:noProof/>
                <w:lang w:eastAsia="zh-CN"/>
              </w:rPr>
              <w:t xml:space="preserve">§ 5 </w:t>
            </w:r>
            <w:r>
              <w:rPr>
                <w:rStyle w:val="Hyperlink"/>
                <w:noProof/>
              </w:rPr>
              <w:t>Einbeziehung</w:t>
            </w:r>
            <w:r>
              <w:rPr>
                <w:rStyle w:val="Hyperlink"/>
                <w:noProof/>
                <w:lang w:eastAsia="zh-CN"/>
              </w:rPr>
              <w:t xml:space="preserve"> Dritter in die Leistungserbringung</w:t>
            </w:r>
            <w:r>
              <w:rPr>
                <w:noProof/>
                <w:webHidden/>
              </w:rPr>
              <w:tab/>
            </w:r>
            <w:r>
              <w:rPr>
                <w:noProof/>
                <w:webHidden/>
              </w:rPr>
              <w:fldChar w:fldCharType="begin"/>
            </w:r>
            <w:r>
              <w:rPr>
                <w:noProof/>
                <w:webHidden/>
              </w:rPr>
              <w:instrText xml:space="preserve"> PAGEREF _Toc131483322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3" w:history="1">
            <w:r>
              <w:rPr>
                <w:rStyle w:val="Hyperlink"/>
                <w:noProof/>
                <w:lang w:eastAsia="zh-CN"/>
              </w:rPr>
              <w:t>§ 6 Abrufberechtigte Stelle</w:t>
            </w:r>
            <w:r>
              <w:rPr>
                <w:noProof/>
                <w:webHidden/>
              </w:rPr>
              <w:tab/>
            </w:r>
            <w:r>
              <w:rPr>
                <w:noProof/>
                <w:webHidden/>
              </w:rPr>
              <w:fldChar w:fldCharType="begin"/>
            </w:r>
            <w:r>
              <w:rPr>
                <w:noProof/>
                <w:webHidden/>
              </w:rPr>
              <w:instrText xml:space="preserve"> PAGEREF _Toc131483323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4" w:history="1">
            <w:r>
              <w:rPr>
                <w:rStyle w:val="Hyperlink"/>
                <w:noProof/>
                <w:lang w:eastAsia="zh-CN"/>
              </w:rPr>
              <w:t>§ 7 Gewährleistung und Verzug</w:t>
            </w:r>
            <w:r>
              <w:rPr>
                <w:noProof/>
                <w:webHidden/>
              </w:rPr>
              <w:tab/>
            </w:r>
            <w:r>
              <w:rPr>
                <w:noProof/>
                <w:webHidden/>
              </w:rPr>
              <w:fldChar w:fldCharType="begin"/>
            </w:r>
            <w:r>
              <w:rPr>
                <w:noProof/>
                <w:webHidden/>
              </w:rPr>
              <w:instrText xml:space="preserve"> PAGEREF _Toc131483324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5" w:history="1">
            <w:r>
              <w:rPr>
                <w:rStyle w:val="Hyperlink"/>
                <w:noProof/>
                <w:lang w:eastAsia="zh-CN"/>
              </w:rPr>
              <w:t>§ 8 Bezahlung der Leistung durch die Auftraggeberin</w:t>
            </w:r>
            <w:r>
              <w:rPr>
                <w:noProof/>
                <w:webHidden/>
              </w:rPr>
              <w:tab/>
            </w:r>
            <w:r>
              <w:rPr>
                <w:noProof/>
                <w:webHidden/>
              </w:rPr>
              <w:fldChar w:fldCharType="begin"/>
            </w:r>
            <w:r>
              <w:rPr>
                <w:noProof/>
                <w:webHidden/>
              </w:rPr>
              <w:instrText xml:space="preserve"> PAGEREF _Toc131483325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6" w:history="1">
            <w:r>
              <w:rPr>
                <w:rStyle w:val="Hyperlink"/>
                <w:noProof/>
                <w:lang w:eastAsia="zh-CN"/>
              </w:rPr>
              <w:t>§ 9 Zahlungsfristen; Skonto</w:t>
            </w:r>
            <w:r>
              <w:rPr>
                <w:noProof/>
                <w:webHidden/>
              </w:rPr>
              <w:tab/>
            </w:r>
            <w:r>
              <w:rPr>
                <w:noProof/>
                <w:webHidden/>
              </w:rPr>
              <w:fldChar w:fldCharType="begin"/>
            </w:r>
            <w:r>
              <w:rPr>
                <w:noProof/>
                <w:webHidden/>
              </w:rPr>
              <w:instrText xml:space="preserve"> PAGEREF _Toc131483326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7" w:history="1">
            <w:r>
              <w:rPr>
                <w:rStyle w:val="Hyperlink"/>
                <w:noProof/>
                <w:lang w:eastAsia="zh-CN"/>
              </w:rPr>
              <w:t>§ 10 Mitwirkungspflichten der Auftraggeberin</w:t>
            </w:r>
            <w:r>
              <w:rPr>
                <w:noProof/>
                <w:webHidden/>
              </w:rPr>
              <w:tab/>
            </w:r>
            <w:r>
              <w:rPr>
                <w:noProof/>
                <w:webHidden/>
              </w:rPr>
              <w:fldChar w:fldCharType="begin"/>
            </w:r>
            <w:r>
              <w:rPr>
                <w:noProof/>
                <w:webHidden/>
              </w:rPr>
              <w:instrText xml:space="preserve"> PAGEREF _Toc131483327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8" w:history="1">
            <w:r>
              <w:rPr>
                <w:rStyle w:val="Hyperlink"/>
                <w:noProof/>
                <w:lang w:eastAsia="zh-CN"/>
              </w:rPr>
              <w:t>§ 11 Leistungsänderungen durch die Auftraggeberin</w:t>
            </w:r>
            <w:r>
              <w:rPr>
                <w:noProof/>
                <w:webHidden/>
              </w:rPr>
              <w:tab/>
            </w:r>
            <w:r>
              <w:rPr>
                <w:noProof/>
                <w:webHidden/>
              </w:rPr>
              <w:fldChar w:fldCharType="begin"/>
            </w:r>
            <w:r>
              <w:rPr>
                <w:noProof/>
                <w:webHidden/>
              </w:rPr>
              <w:instrText xml:space="preserve"> PAGEREF _Toc131483328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29" w:history="1">
            <w:r>
              <w:rPr>
                <w:rStyle w:val="Hyperlink"/>
                <w:noProof/>
                <w:lang w:eastAsia="zh-CN"/>
              </w:rPr>
              <w:t>§ 12 Ansprechpartner</w:t>
            </w:r>
            <w:r>
              <w:rPr>
                <w:noProof/>
                <w:webHidden/>
              </w:rPr>
              <w:tab/>
            </w:r>
            <w:r>
              <w:rPr>
                <w:noProof/>
                <w:webHidden/>
              </w:rPr>
              <w:fldChar w:fldCharType="begin"/>
            </w:r>
            <w:r>
              <w:rPr>
                <w:noProof/>
                <w:webHidden/>
              </w:rPr>
              <w:instrText xml:space="preserve"> PAGEREF _Toc131483329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0" w:history="1">
            <w:r>
              <w:rPr>
                <w:rStyle w:val="Hyperlink"/>
                <w:noProof/>
                <w:lang w:eastAsia="zh-CN"/>
              </w:rPr>
              <w:t>§ 13 Haftung</w:t>
            </w:r>
            <w:r>
              <w:rPr>
                <w:noProof/>
                <w:webHidden/>
              </w:rPr>
              <w:tab/>
            </w:r>
            <w:r>
              <w:rPr>
                <w:noProof/>
                <w:webHidden/>
              </w:rPr>
              <w:fldChar w:fldCharType="begin"/>
            </w:r>
            <w:r>
              <w:rPr>
                <w:noProof/>
                <w:webHidden/>
              </w:rPr>
              <w:instrText xml:space="preserve"> PAGEREF _Toc131483330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1" w:history="1">
            <w:r>
              <w:rPr>
                <w:rStyle w:val="Hyperlink"/>
                <w:noProof/>
              </w:rPr>
              <w:t>§ 14 Laufzeit der Vertrag</w:t>
            </w:r>
            <w:r>
              <w:rPr>
                <w:noProof/>
                <w:webHidden/>
              </w:rPr>
              <w:tab/>
            </w:r>
            <w:r>
              <w:rPr>
                <w:noProof/>
                <w:webHidden/>
              </w:rPr>
              <w:fldChar w:fldCharType="begin"/>
            </w:r>
            <w:r>
              <w:rPr>
                <w:noProof/>
                <w:webHidden/>
              </w:rPr>
              <w:instrText xml:space="preserve"> PAGEREF _Toc131483331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2" w:history="1">
            <w:r>
              <w:rPr>
                <w:rStyle w:val="Hyperlink"/>
                <w:noProof/>
                <w:lang w:eastAsia="zh-CN"/>
              </w:rPr>
              <w:t>§ 15 Recht zur Kündigung</w:t>
            </w:r>
            <w:r>
              <w:rPr>
                <w:noProof/>
                <w:webHidden/>
              </w:rPr>
              <w:tab/>
            </w:r>
            <w:r>
              <w:rPr>
                <w:noProof/>
                <w:webHidden/>
              </w:rPr>
              <w:fldChar w:fldCharType="begin"/>
            </w:r>
            <w:r>
              <w:rPr>
                <w:noProof/>
                <w:webHidden/>
              </w:rPr>
              <w:instrText xml:space="preserve"> PAGEREF _Toc131483332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3" w:history="1">
            <w:r>
              <w:rPr>
                <w:rStyle w:val="Hyperlink"/>
                <w:noProof/>
                <w:lang w:eastAsia="zh-CN"/>
              </w:rPr>
              <w:t>§ 16 Rechtsfolgen der Kündigung</w:t>
            </w:r>
            <w:r>
              <w:rPr>
                <w:noProof/>
                <w:webHidden/>
              </w:rPr>
              <w:tab/>
            </w:r>
            <w:r>
              <w:rPr>
                <w:noProof/>
                <w:webHidden/>
              </w:rPr>
              <w:fldChar w:fldCharType="begin"/>
            </w:r>
            <w:r>
              <w:rPr>
                <w:noProof/>
                <w:webHidden/>
              </w:rPr>
              <w:instrText xml:space="preserve"> PAGEREF _Toc131483333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4" w:history="1">
            <w:r>
              <w:rPr>
                <w:rStyle w:val="Hyperlink"/>
                <w:noProof/>
                <w:lang w:eastAsia="zh-CN"/>
              </w:rPr>
              <w:t>§ 17 Vertraulichkeits- und Geheimhaltungsvereinbarung</w:t>
            </w:r>
            <w:r>
              <w:rPr>
                <w:noProof/>
                <w:webHidden/>
              </w:rPr>
              <w:tab/>
            </w:r>
            <w:r>
              <w:rPr>
                <w:noProof/>
                <w:webHidden/>
              </w:rPr>
              <w:fldChar w:fldCharType="begin"/>
            </w:r>
            <w:r>
              <w:rPr>
                <w:noProof/>
                <w:webHidden/>
              </w:rPr>
              <w:instrText xml:space="preserve"> PAGEREF _Toc131483334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5" w:history="1">
            <w:r>
              <w:rPr>
                <w:rStyle w:val="Hyperlink"/>
                <w:noProof/>
                <w:lang w:eastAsia="zh-CN"/>
              </w:rPr>
              <w:t>§ 18 Formerfordernis für Änderungen und Ergänzungen</w:t>
            </w:r>
            <w:r>
              <w:rPr>
                <w:noProof/>
                <w:webHidden/>
              </w:rPr>
              <w:tab/>
            </w:r>
            <w:r>
              <w:rPr>
                <w:noProof/>
                <w:webHidden/>
              </w:rPr>
              <w:fldChar w:fldCharType="begin"/>
            </w:r>
            <w:r>
              <w:rPr>
                <w:noProof/>
                <w:webHidden/>
              </w:rPr>
              <w:instrText xml:space="preserve"> PAGEREF _Toc131483335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6" w:history="1">
            <w:r>
              <w:rPr>
                <w:rStyle w:val="Hyperlink"/>
                <w:noProof/>
                <w:lang w:eastAsia="zh-CN"/>
              </w:rPr>
              <w:t>§ 19 Vertragssprache</w:t>
            </w:r>
            <w:r>
              <w:rPr>
                <w:noProof/>
                <w:webHidden/>
              </w:rPr>
              <w:tab/>
            </w:r>
            <w:r>
              <w:rPr>
                <w:noProof/>
                <w:webHidden/>
              </w:rPr>
              <w:fldChar w:fldCharType="begin"/>
            </w:r>
            <w:r>
              <w:rPr>
                <w:noProof/>
                <w:webHidden/>
              </w:rPr>
              <w:instrText xml:space="preserve"> PAGEREF _Toc131483336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7" w:history="1">
            <w:r>
              <w:rPr>
                <w:rStyle w:val="Hyperlink"/>
                <w:noProof/>
                <w:lang w:eastAsia="zh-CN"/>
              </w:rPr>
              <w:t>§ 20 Anwendbares Recht und Gerichtsstand</w:t>
            </w:r>
            <w:r>
              <w:rPr>
                <w:noProof/>
                <w:webHidden/>
              </w:rPr>
              <w:tab/>
            </w:r>
            <w:r>
              <w:rPr>
                <w:noProof/>
                <w:webHidden/>
              </w:rPr>
              <w:fldChar w:fldCharType="begin"/>
            </w:r>
            <w:r>
              <w:rPr>
                <w:noProof/>
                <w:webHidden/>
              </w:rPr>
              <w:instrText xml:space="preserve"> PAGEREF _Toc131483337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131483338" w:history="1">
            <w:r>
              <w:rPr>
                <w:rStyle w:val="Hyperlink"/>
                <w:noProof/>
                <w:lang w:eastAsia="zh-CN"/>
              </w:rPr>
              <w:t>§ 21 Salvatorische Klausel</w:t>
            </w:r>
            <w:r>
              <w:rPr>
                <w:noProof/>
                <w:webHidden/>
              </w:rPr>
              <w:tab/>
            </w:r>
            <w:r>
              <w:rPr>
                <w:noProof/>
                <w:webHidden/>
              </w:rPr>
              <w:fldChar w:fldCharType="begin"/>
            </w:r>
            <w:r>
              <w:rPr>
                <w:noProof/>
                <w:webHidden/>
              </w:rPr>
              <w:instrText xml:space="preserve"> PAGEREF _Toc131483338 \h </w:instrText>
            </w:r>
            <w:r>
              <w:rPr>
                <w:noProof/>
                <w:webHidden/>
              </w:rPr>
            </w:r>
            <w:r>
              <w:rPr>
                <w:noProof/>
                <w:webHidden/>
              </w:rPr>
              <w:fldChar w:fldCharType="separate"/>
            </w:r>
            <w:r>
              <w:rPr>
                <w:noProof/>
                <w:webHidden/>
              </w:rPr>
              <w:t>9</w:t>
            </w:r>
            <w:r>
              <w:rPr>
                <w:noProof/>
                <w:webHidden/>
              </w:rPr>
              <w:fldChar w:fldCharType="end"/>
            </w:r>
          </w:hyperlink>
        </w:p>
        <w:p>
          <w:pPr>
            <w:spacing w:line="360" w:lineRule="auto"/>
          </w:pPr>
          <w:r>
            <w:rPr>
              <w:b/>
              <w:bCs/>
            </w:rPr>
            <w:fldChar w:fldCharType="end"/>
          </w:r>
        </w:p>
      </w:sdtContent>
    </w:sdt>
    <w:p>
      <w:pPr>
        <w:rPr>
          <w:rFonts w:cstheme="majorHAnsi"/>
        </w:rPr>
      </w:pPr>
      <w:r>
        <w:rPr>
          <w:rFonts w:cstheme="majorHAnsi"/>
        </w:rPr>
        <w:br w:type="page"/>
      </w:r>
    </w:p>
    <w:p>
      <w:pPr>
        <w:pStyle w:val="berschrift1"/>
      </w:pPr>
      <w:bookmarkStart w:id="1" w:name="_Toc131483317"/>
      <w:r>
        <w:lastRenderedPageBreak/>
        <w:t>Präambel</w:t>
      </w:r>
      <w:bookmarkEnd w:id="1"/>
    </w:p>
    <w:p>
      <w:pPr>
        <w:autoSpaceDE w:val="0"/>
        <w:autoSpaceDN w:val="0"/>
        <w:adjustRightInd w:val="0"/>
        <w:spacing w:before="0" w:after="0"/>
        <w:jc w:val="left"/>
        <w:rPr>
          <w:rFonts w:eastAsia="Arial" w:cstheme="majorHAnsi"/>
        </w:rPr>
      </w:pPr>
      <w:r>
        <w:rPr>
          <w:rFonts w:eastAsia="Arial" w:cstheme="majorHAnsi"/>
        </w:rPr>
        <w:t>Die Stadtverwaltung Ludwigshafen benötigt für die Einlasskontrolle an den Eingängen I und II zum Stadthaus Nord einen Sicherheitsdienst zum Schutz der Besucher*innen, Mitarbeiter*innen, sowie des Gebäudes.</w:t>
      </w:r>
    </w:p>
    <w:p>
      <w:pPr>
        <w:autoSpaceDE w:val="0"/>
        <w:autoSpaceDN w:val="0"/>
        <w:adjustRightInd w:val="0"/>
        <w:spacing w:before="0" w:after="0"/>
        <w:jc w:val="left"/>
        <w:rPr>
          <w:rFonts w:eastAsia="Arial" w:cstheme="majorHAnsi"/>
        </w:rPr>
      </w:pPr>
    </w:p>
    <w:p>
      <w:pPr>
        <w:autoSpaceDE w:val="0"/>
        <w:autoSpaceDN w:val="0"/>
        <w:adjustRightInd w:val="0"/>
        <w:spacing w:before="0" w:after="0"/>
        <w:jc w:val="left"/>
        <w:rPr>
          <w:rFonts w:cstheme="majorHAnsi"/>
        </w:rPr>
      </w:pPr>
      <w:r>
        <w:t>Vor diesem Hintergrund schließen die Partner folgenden Vertrag.</w:t>
      </w:r>
    </w:p>
    <w:p>
      <w:pPr>
        <w:pStyle w:val="berschrift1"/>
      </w:pPr>
      <w:bookmarkStart w:id="2" w:name="_Toc131483318"/>
      <w:r>
        <w:t xml:space="preserve">§ 1 Gegenstand des </w:t>
      </w:r>
      <w:bookmarkEnd w:id="2"/>
      <w:r>
        <w:rPr>
          <w:rStyle w:val="Hyperlink"/>
          <w:noProof/>
          <w:color w:val="auto"/>
          <w:u w:val="none"/>
        </w:rPr>
        <w:t>Vertrages</w:t>
      </w:r>
    </w:p>
    <w:p>
      <w:pPr>
        <w:pStyle w:val="Listenabsatz"/>
        <w:numPr>
          <w:ilvl w:val="0"/>
          <w:numId w:val="3"/>
        </w:numPr>
        <w:ind w:left="284" w:hanging="284"/>
        <w:contextualSpacing w:val="0"/>
        <w:rPr>
          <w:rFonts w:eastAsia="Arial" w:cstheme="majorHAnsi"/>
        </w:rPr>
      </w:pPr>
      <w:r>
        <w:rPr>
          <w:rFonts w:eastAsia="Arial" w:cstheme="majorHAnsi"/>
        </w:rPr>
        <w:t xml:space="preserve">Der Vertrag regelt die wesentlichen Bedingungen für die Bestellung und Erbringung von Dienstleistungen durch und an die Auftraggeberin. </w:t>
      </w:r>
    </w:p>
    <w:p>
      <w:pPr>
        <w:pStyle w:val="Listenabsatz"/>
        <w:numPr>
          <w:ilvl w:val="0"/>
          <w:numId w:val="3"/>
        </w:numPr>
        <w:ind w:left="284" w:hanging="284"/>
        <w:contextualSpacing w:val="0"/>
        <w:rPr>
          <w:rFonts w:eastAsia="Arial" w:cstheme="majorHAnsi"/>
        </w:rPr>
      </w:pPr>
      <w:r>
        <w:rPr>
          <w:rFonts w:eastAsia="Arial" w:cstheme="majorHAnsi"/>
        </w:rPr>
        <w:t>Auftraggeberin ist die Stadtverwaltung Ludwigshafen am Rhein.</w:t>
      </w:r>
    </w:p>
    <w:p>
      <w:pPr>
        <w:pStyle w:val="Listenabsatz"/>
        <w:numPr>
          <w:ilvl w:val="0"/>
          <w:numId w:val="3"/>
        </w:numPr>
        <w:ind w:left="284" w:hanging="284"/>
        <w:contextualSpacing w:val="0"/>
        <w:rPr>
          <w:rFonts w:cstheme="majorHAnsi"/>
        </w:rPr>
      </w:pPr>
      <w:r>
        <w:rPr>
          <w:rFonts w:cstheme="majorHAnsi"/>
        </w:rPr>
        <w:t>Der Auftragnehmer übernimmt die Erbringung der in den Ausschreibungsunterlagen und ihren Anlagen aufgeführten Leistungen an die Auftraggeberin und deren abrufberechtigte Stellen.</w:t>
      </w:r>
    </w:p>
    <w:p>
      <w:pPr>
        <w:pStyle w:val="Listenabsatz"/>
        <w:numPr>
          <w:ilvl w:val="0"/>
          <w:numId w:val="3"/>
        </w:numPr>
        <w:ind w:left="284" w:hanging="284"/>
        <w:contextualSpacing w:val="0"/>
        <w:rPr>
          <w:rFonts w:cstheme="majorHAnsi"/>
        </w:rPr>
      </w:pPr>
      <w:r>
        <w:rPr>
          <w:rFonts w:cstheme="majorHAnsi"/>
        </w:rPr>
        <w:t>Bei Widersprüchen in dieser Vereinbarung bzw. den Vergabe- und Vertragsunterlagen gelten nacheinander:</w:t>
      </w:r>
    </w:p>
    <w:p>
      <w:pPr>
        <w:pStyle w:val="Listenabsatz"/>
        <w:numPr>
          <w:ilvl w:val="0"/>
          <w:numId w:val="5"/>
        </w:numPr>
        <w:ind w:left="709" w:hanging="425"/>
        <w:contextualSpacing w:val="0"/>
        <w:rPr>
          <w:rFonts w:cstheme="majorHAnsi"/>
        </w:rPr>
      </w:pPr>
      <w:r>
        <w:rPr>
          <w:rFonts w:cstheme="majorHAnsi"/>
        </w:rPr>
        <w:t>Die Vergabe- und Vertragsunterlagen mit allen ihren Anlagen inkl. Bieterrundschreiben</w:t>
      </w:r>
    </w:p>
    <w:p>
      <w:pPr>
        <w:pStyle w:val="Listenabsatz"/>
        <w:numPr>
          <w:ilvl w:val="0"/>
          <w:numId w:val="5"/>
        </w:numPr>
        <w:ind w:left="709" w:hanging="425"/>
        <w:contextualSpacing w:val="0"/>
        <w:rPr>
          <w:rFonts w:cstheme="majorHAnsi"/>
        </w:rPr>
      </w:pPr>
      <w:r>
        <w:rPr>
          <w:rFonts w:cstheme="majorHAnsi"/>
        </w:rPr>
        <w:t>besondere Vertragsbedingungen</w:t>
      </w:r>
    </w:p>
    <w:p>
      <w:pPr>
        <w:pStyle w:val="Listenabsatz"/>
        <w:numPr>
          <w:ilvl w:val="0"/>
          <w:numId w:val="5"/>
        </w:numPr>
        <w:ind w:left="709" w:hanging="425"/>
        <w:contextualSpacing w:val="0"/>
        <w:rPr>
          <w:rFonts w:cstheme="majorHAnsi"/>
        </w:rPr>
      </w:pPr>
      <w:r>
        <w:rPr>
          <w:rFonts w:cstheme="majorHAnsi"/>
        </w:rPr>
        <w:t>etwaige Ergänzende Vertragsbedingungen</w:t>
      </w:r>
    </w:p>
    <w:p>
      <w:pPr>
        <w:pStyle w:val="Listenabsatz"/>
        <w:numPr>
          <w:ilvl w:val="0"/>
          <w:numId w:val="5"/>
        </w:numPr>
        <w:ind w:left="709" w:hanging="425"/>
        <w:contextualSpacing w:val="0"/>
        <w:rPr>
          <w:rFonts w:cstheme="majorHAnsi"/>
        </w:rPr>
      </w:pPr>
      <w:r>
        <w:rPr>
          <w:rFonts w:cstheme="majorHAnsi"/>
        </w:rPr>
        <w:t xml:space="preserve">etwaige Zusätzliche Vertragsbedingungen </w:t>
      </w:r>
    </w:p>
    <w:p>
      <w:pPr>
        <w:pStyle w:val="Listenabsatz"/>
        <w:numPr>
          <w:ilvl w:val="0"/>
          <w:numId w:val="5"/>
        </w:numPr>
        <w:ind w:left="709" w:hanging="425"/>
        <w:contextualSpacing w:val="0"/>
        <w:rPr>
          <w:rFonts w:cstheme="majorHAnsi"/>
        </w:rPr>
      </w:pPr>
      <w:r>
        <w:rPr>
          <w:rFonts w:cstheme="majorHAnsi"/>
        </w:rPr>
        <w:t xml:space="preserve">etwaige allgemeine Technische Vertragsbedingungen </w:t>
      </w:r>
    </w:p>
    <w:p>
      <w:pPr>
        <w:pStyle w:val="Listenabsatz"/>
        <w:numPr>
          <w:ilvl w:val="0"/>
          <w:numId w:val="5"/>
        </w:numPr>
        <w:ind w:left="709" w:hanging="425"/>
        <w:contextualSpacing w:val="0"/>
        <w:rPr>
          <w:rFonts w:cstheme="majorHAnsi"/>
        </w:rPr>
      </w:pPr>
      <w:r>
        <w:rPr>
          <w:rFonts w:cstheme="majorHAnsi"/>
        </w:rPr>
        <w:t>das Angebot des Auftragnehmers</w:t>
      </w:r>
    </w:p>
    <w:p>
      <w:pPr>
        <w:pStyle w:val="Listenabsatz"/>
        <w:numPr>
          <w:ilvl w:val="0"/>
          <w:numId w:val="5"/>
        </w:numPr>
        <w:ind w:left="709" w:hanging="425"/>
        <w:contextualSpacing w:val="0"/>
        <w:rPr>
          <w:rFonts w:cstheme="majorHAnsi"/>
        </w:rPr>
      </w:pPr>
      <w:r>
        <w:rPr>
          <w:rFonts w:cstheme="majorHAnsi"/>
        </w:rPr>
        <w:t>die allgemeinen vergaberechtlichen Vertragsbedingungen in der bei Veröffentlichung der Vergabeunterlagen geltend Fassung</w:t>
      </w:r>
    </w:p>
    <w:p>
      <w:pPr>
        <w:pStyle w:val="Listenabsatz"/>
        <w:numPr>
          <w:ilvl w:val="0"/>
          <w:numId w:val="5"/>
        </w:numPr>
        <w:ind w:left="709" w:hanging="425"/>
        <w:contextualSpacing w:val="0"/>
        <w:rPr>
          <w:rFonts w:cstheme="majorHAnsi"/>
          <w:lang w:eastAsia="zh-CN"/>
        </w:rPr>
      </w:pPr>
      <w:r>
        <w:rPr>
          <w:rFonts w:cstheme="majorHAnsi"/>
        </w:rPr>
        <w:t>die allgemeinen gesetzlichen Regelungen</w:t>
      </w:r>
    </w:p>
    <w:p>
      <w:pPr>
        <w:pStyle w:val="berschrift1"/>
        <w:rPr>
          <w:lang w:eastAsia="zh-CN"/>
        </w:rPr>
      </w:pPr>
      <w:bookmarkStart w:id="3" w:name="_Toc131483319"/>
      <w:r>
        <w:rPr>
          <w:lang w:eastAsia="zh-CN"/>
        </w:rPr>
        <w:t>§ 2 Keine Geltung der AGB des Auftragnehmers</w:t>
      </w:r>
      <w:bookmarkEnd w:id="3"/>
    </w:p>
    <w:p>
      <w:pPr>
        <w:pStyle w:val="Listenabsatz"/>
        <w:ind w:left="284"/>
        <w:contextualSpacing w:val="0"/>
        <w:rPr>
          <w:rFonts w:cstheme="majorHAnsi"/>
          <w:lang w:eastAsia="zh-CN"/>
        </w:rPr>
      </w:pPr>
      <w:r>
        <w:rPr>
          <w:rFonts w:eastAsia="Arial" w:cstheme="majorHAnsi"/>
        </w:rPr>
        <w:t>Allgemeine Geschäftsbedingungen (AGB) des Auftragnehmers werden nicht Bestandteil dieses Vertrages oder einer Bestellung. Die AGB des Auftragnehmers gelten insbesondere auch dann nicht, wenn sie im Rahmen einer einzelnen Bestellung, der Leistungserbringung oder der Abrechnung in Bezug genommen werden und die Auftraggeberin nicht widerspricht.</w:t>
      </w:r>
    </w:p>
    <w:p>
      <w:pPr>
        <w:pStyle w:val="berschrift1"/>
        <w:rPr>
          <w:lang w:eastAsia="zh-CN"/>
        </w:rPr>
      </w:pPr>
      <w:bookmarkStart w:id="4" w:name="_Toc131483320"/>
      <w:r>
        <w:rPr>
          <w:lang w:eastAsia="zh-CN"/>
        </w:rPr>
        <w:t xml:space="preserve">§ 3 Erbringung der </w:t>
      </w:r>
      <w:r>
        <w:t>Leistung</w:t>
      </w:r>
      <w:bookmarkEnd w:id="4"/>
      <w:r>
        <w:rPr>
          <w:lang w:eastAsia="zh-CN"/>
        </w:rPr>
        <w:t xml:space="preserve"> </w:t>
      </w:r>
    </w:p>
    <w:p>
      <w:pPr>
        <w:pStyle w:val="Listenabsatz"/>
        <w:numPr>
          <w:ilvl w:val="0"/>
          <w:numId w:val="22"/>
        </w:numPr>
        <w:ind w:left="284" w:hanging="284"/>
        <w:contextualSpacing w:val="0"/>
        <w:rPr>
          <w:rFonts w:cstheme="majorHAnsi"/>
          <w:lang w:eastAsia="zh-CN"/>
        </w:rPr>
      </w:pPr>
      <w:r>
        <w:rPr>
          <w:rFonts w:eastAsia="Arial" w:cstheme="majorHAnsi"/>
        </w:rPr>
        <w:t xml:space="preserve">Der Auftragnehmer wird - erst - durch eine Bestellung der Auftraggeberin oder der auftragsberechtigten Stelle dazu verpflichtet, die Leistung zu erbringen. </w:t>
      </w:r>
    </w:p>
    <w:p>
      <w:pPr>
        <w:pStyle w:val="Listenabsatz"/>
        <w:numPr>
          <w:ilvl w:val="0"/>
          <w:numId w:val="22"/>
        </w:numPr>
        <w:ind w:left="284" w:hanging="284"/>
        <w:contextualSpacing w:val="0"/>
        <w:rPr>
          <w:rFonts w:eastAsia="Arial" w:cstheme="majorHAnsi"/>
        </w:rPr>
      </w:pPr>
      <w:r>
        <w:rPr>
          <w:rFonts w:eastAsia="Arial" w:cstheme="majorHAnsi"/>
        </w:rPr>
        <w:t>Die Lieferungen bzw. Dienstleistungen sind - soweit im Einzelfall nicht anders vereinbart vom Auftragnehmer – entsprechend der Angaben der jeweiligen Bestellung auszuführen.</w:t>
      </w:r>
    </w:p>
    <w:p>
      <w:pPr>
        <w:pStyle w:val="Listenabsatz"/>
        <w:numPr>
          <w:ilvl w:val="0"/>
          <w:numId w:val="22"/>
        </w:numPr>
        <w:ind w:left="284" w:hanging="284"/>
        <w:contextualSpacing w:val="0"/>
        <w:rPr>
          <w:rFonts w:cstheme="majorHAnsi"/>
          <w:lang w:eastAsia="zh-CN"/>
        </w:rPr>
      </w:pPr>
      <w:r>
        <w:rPr>
          <w:szCs w:val="20"/>
        </w:rPr>
        <w:t xml:space="preserve">Die Mitarbeitenden des verantwortlichen Fachbereichs der Auftraggeberin sind gegenüber den vom Auftragnehmer eingesetzten Sicherheitskräften fachlich weisungsbefugt. Der Auftragnehmer ist mit der Überprüfung und Überwachung seines Personals durch die Auftraggeberin einverstanden. Die Auftraggeberin behält sich das Recht vor, in begründeten Fällen den Austausch einer Sicherheitskraft zu verlangen. Wird vom Auftragnehmer Personal eingesetzt, dass von der Auftraggeberin zuvor abgelehnt wurde, werden die von dem besagten Personal geleisteten Stunden nicht vergütet. Die </w:t>
      </w:r>
      <w:r>
        <w:rPr>
          <w:szCs w:val="20"/>
        </w:rPr>
        <w:lastRenderedPageBreak/>
        <w:t>Auftraggeberin kann – insbesondere bei Verfehlungen, welche die Sicherheit oder Ordnung der Einrichtung beeinträchtigen – Sicherheitskräfte vom Arbeitsplatz verweisen und ihnen gegenüber ggf. das Hausrecht ausüben. Der Auftragnehmer wird hierüber unverzüglich unterrichtet. Die hierdurch entstehenden Ausfallstunden werden nicht vergütet. Der Auftragnehmer sorgt unverzüglich für qualifiziertes Ersatzpersonal.</w:t>
      </w:r>
    </w:p>
    <w:p>
      <w:pPr>
        <w:pStyle w:val="berschrift1"/>
        <w:rPr>
          <w:lang w:eastAsia="zh-CN"/>
        </w:rPr>
      </w:pPr>
      <w:bookmarkStart w:id="5" w:name="_Toc131483321"/>
      <w:r>
        <w:rPr>
          <w:lang w:eastAsia="zh-CN"/>
        </w:rPr>
        <w:t xml:space="preserve">§ 4 Umfang der </w:t>
      </w:r>
      <w:r>
        <w:t>Leistungen</w:t>
      </w:r>
      <w:r>
        <w:rPr>
          <w:lang w:eastAsia="zh-CN"/>
        </w:rPr>
        <w:t>, Leistungsort, Leistungsfrist</w:t>
      </w:r>
      <w:bookmarkEnd w:id="5"/>
    </w:p>
    <w:p>
      <w:pPr>
        <w:pStyle w:val="Listenabsatz"/>
        <w:numPr>
          <w:ilvl w:val="0"/>
          <w:numId w:val="12"/>
        </w:numPr>
        <w:ind w:left="284" w:hanging="284"/>
        <w:contextualSpacing w:val="0"/>
        <w:rPr>
          <w:rFonts w:cstheme="majorHAnsi"/>
        </w:rPr>
      </w:pPr>
      <w:r>
        <w:rPr>
          <w:rFonts w:cstheme="majorHAnsi"/>
        </w:rPr>
        <w:t xml:space="preserve">Der </w:t>
      </w:r>
      <w:r>
        <w:rPr>
          <w:rFonts w:eastAsia="Arial" w:cstheme="majorHAnsi"/>
        </w:rPr>
        <w:t xml:space="preserve">Auftragnehmer </w:t>
      </w:r>
      <w:r>
        <w:rPr>
          <w:rFonts w:cstheme="majorHAnsi"/>
        </w:rPr>
        <w:t xml:space="preserve">übernimmt die Dienstleistungen gemäß Leistungsbeschreibung für die abrufberechtigten Stellen. </w:t>
      </w:r>
    </w:p>
    <w:p>
      <w:pPr>
        <w:pStyle w:val="Listenabsatz"/>
        <w:numPr>
          <w:ilvl w:val="0"/>
          <w:numId w:val="12"/>
        </w:numPr>
        <w:ind w:left="284" w:hanging="284"/>
        <w:contextualSpacing w:val="0"/>
        <w:rPr>
          <w:rFonts w:cstheme="majorHAnsi"/>
        </w:rPr>
      </w:pPr>
      <w:r>
        <w:rPr>
          <w:rFonts w:cstheme="majorHAnsi"/>
        </w:rPr>
        <w:t>Art und Umfang der Leistung, sowie die Leistungsfrist werden durch die Bestellung der abrufberechtigten Stellen näher bestimmt.</w:t>
      </w:r>
    </w:p>
    <w:p>
      <w:pPr>
        <w:pStyle w:val="Textkrper"/>
        <w:numPr>
          <w:ilvl w:val="0"/>
          <w:numId w:val="12"/>
        </w:numPr>
        <w:spacing w:after="120"/>
        <w:ind w:left="284" w:hanging="284"/>
        <w:rPr>
          <w:rFonts w:asciiTheme="majorHAnsi" w:hAnsiTheme="majorHAnsi" w:cstheme="majorHAnsi"/>
        </w:rPr>
      </w:pPr>
      <w:r>
        <w:rPr>
          <w:rFonts w:asciiTheme="majorHAnsi" w:hAnsiTheme="majorHAnsi" w:cstheme="majorHAnsi"/>
          <w:lang w:val="de-DE"/>
        </w:rPr>
        <w:t>Vereinbarte</w:t>
      </w:r>
      <w:r>
        <w:rPr>
          <w:rFonts w:asciiTheme="majorHAnsi" w:hAnsiTheme="majorHAnsi" w:cstheme="majorHAnsi"/>
        </w:rPr>
        <w:t xml:space="preserve"> Leistungsfristen sind verbindlich.</w:t>
      </w:r>
    </w:p>
    <w:p>
      <w:pPr>
        <w:pStyle w:val="Listenabsatz"/>
        <w:numPr>
          <w:ilvl w:val="0"/>
          <w:numId w:val="12"/>
        </w:numPr>
        <w:autoSpaceDE w:val="0"/>
        <w:ind w:left="284" w:hanging="284"/>
        <w:contextualSpacing w:val="0"/>
        <w:rPr>
          <w:rFonts w:cstheme="majorHAnsi"/>
        </w:rPr>
      </w:pPr>
      <w:r>
        <w:rPr>
          <w:rFonts w:cstheme="majorHAnsi"/>
        </w:rPr>
        <w:t>Durch diesen Vertrag wird weder die Verpflichtung der Auftraggeberin, Einzelaufträge zu erteilen, noch ein Anspruch des Auftragnehmers auf die Abnahme bestimmter Leistungen begründet.</w:t>
      </w:r>
    </w:p>
    <w:p>
      <w:pPr>
        <w:pStyle w:val="Listenabsatz"/>
        <w:numPr>
          <w:ilvl w:val="0"/>
          <w:numId w:val="12"/>
        </w:numPr>
        <w:autoSpaceDE w:val="0"/>
        <w:ind w:left="284" w:hanging="284"/>
        <w:contextualSpacing w:val="0"/>
        <w:rPr>
          <w:rFonts w:cstheme="majorHAnsi"/>
        </w:rPr>
      </w:pPr>
      <w:r>
        <w:rPr>
          <w:rFonts w:cstheme="majorHAnsi"/>
        </w:rPr>
        <w:t xml:space="preserve">Leistungsort ist – soweit nichts anderes vereinbart wird – der </w:t>
      </w:r>
      <w:r>
        <w:rPr>
          <w:rFonts w:cstheme="majorHAnsi"/>
          <w:lang w:eastAsia="zh-CN"/>
        </w:rPr>
        <w:t>Einsatzplatz der bestellten Leistung.</w:t>
      </w:r>
    </w:p>
    <w:p>
      <w:pPr>
        <w:pStyle w:val="Listenabsatz"/>
        <w:numPr>
          <w:ilvl w:val="0"/>
          <w:numId w:val="12"/>
        </w:numPr>
        <w:autoSpaceDE w:val="0"/>
        <w:ind w:left="284" w:hanging="284"/>
        <w:contextualSpacing w:val="0"/>
        <w:rPr>
          <w:rFonts w:cstheme="majorHAnsi"/>
          <w:lang w:eastAsia="zh-CN"/>
        </w:rPr>
      </w:pPr>
      <w:r>
        <w:rPr>
          <w:rFonts w:cstheme="majorHAnsi"/>
          <w:lang w:eastAsia="de-DE"/>
        </w:rPr>
        <w:t>Eventuelle Lieferungen erfolgen unabhängig von ihrem Wert versandkostenfrei.</w:t>
      </w:r>
    </w:p>
    <w:p>
      <w:pPr>
        <w:pStyle w:val="berschrift1"/>
        <w:rPr>
          <w:lang w:eastAsia="zh-CN"/>
        </w:rPr>
      </w:pPr>
      <w:bookmarkStart w:id="6" w:name="_Toc131483322"/>
      <w:r>
        <w:rPr>
          <w:lang w:eastAsia="zh-CN"/>
        </w:rPr>
        <w:t xml:space="preserve">§ 5 </w:t>
      </w:r>
      <w:r>
        <w:t>Einbeziehung</w:t>
      </w:r>
      <w:r>
        <w:rPr>
          <w:lang w:eastAsia="zh-CN"/>
        </w:rPr>
        <w:t xml:space="preserve"> Dritter in die Leistungserbringung</w:t>
      </w:r>
      <w:bookmarkEnd w:id="6"/>
    </w:p>
    <w:p>
      <w:pPr>
        <w:rPr>
          <w:rFonts w:cstheme="majorHAnsi"/>
          <w:lang w:eastAsia="zh-CN"/>
        </w:rPr>
      </w:pPr>
      <w:r>
        <w:rPr>
          <w:rFonts w:cstheme="majorHAnsi"/>
        </w:rPr>
        <w:t>Der/die Auftragnehmer*in darf für die Ausführung von Leistungen Erfüllungsgehilfen ohne Zustimmung der Auftraggeberin nur einsetzen, soweit sie ihre Leistungen in der Europäischen Gemeinschaft oder im Europäischen Wirtschaftsraum erbringen.</w:t>
      </w:r>
    </w:p>
    <w:p>
      <w:pPr>
        <w:pStyle w:val="berschrift1"/>
        <w:rPr>
          <w:lang w:eastAsia="zh-CN"/>
        </w:rPr>
      </w:pPr>
      <w:bookmarkStart w:id="7" w:name="_Toc131483323"/>
      <w:r>
        <w:rPr>
          <w:lang w:eastAsia="zh-CN"/>
        </w:rPr>
        <w:t>§ 6 Abrufberechtigte Stelle</w:t>
      </w:r>
      <w:bookmarkEnd w:id="7"/>
    </w:p>
    <w:p>
      <w:pPr>
        <w:rPr>
          <w:rFonts w:cstheme="majorHAnsi"/>
        </w:rPr>
      </w:pPr>
      <w:r>
        <w:rPr>
          <w:rFonts w:eastAsia="Arial" w:cstheme="majorHAnsi"/>
        </w:rPr>
        <w:t>Abrufberechtigt für diese Leistung ist der Bereich 5-12 „Soziale Sicherung &amp; Planung“.</w:t>
      </w:r>
    </w:p>
    <w:p>
      <w:pPr>
        <w:pStyle w:val="berschrift1"/>
        <w:ind w:left="284" w:hanging="284"/>
        <w:rPr>
          <w:lang w:eastAsia="zh-CN"/>
        </w:rPr>
      </w:pPr>
      <w:bookmarkStart w:id="8" w:name="_Toc131483324"/>
      <w:r>
        <w:rPr>
          <w:lang w:eastAsia="zh-CN"/>
        </w:rPr>
        <w:t>§ 7 Gewährleistung und Verzug</w:t>
      </w:r>
      <w:bookmarkEnd w:id="8"/>
      <w:r>
        <w:rPr>
          <w:lang w:eastAsia="zh-CN"/>
        </w:rPr>
        <w:t xml:space="preserve"> </w:t>
      </w:r>
    </w:p>
    <w:p>
      <w:pPr>
        <w:pStyle w:val="Listenabsatz"/>
        <w:numPr>
          <w:ilvl w:val="0"/>
          <w:numId w:val="16"/>
        </w:numPr>
        <w:ind w:left="284" w:hanging="284"/>
        <w:contextualSpacing w:val="0"/>
        <w:rPr>
          <w:rFonts w:cstheme="majorHAnsi"/>
          <w:lang w:eastAsia="zh-CN"/>
        </w:rPr>
      </w:pPr>
      <w:r>
        <w:rPr>
          <w:rFonts w:eastAsia="Arial" w:cstheme="majorHAnsi"/>
        </w:rPr>
        <w:t>Die Gewährleistung und die Verzugsfolgen richten sich nach den Maßgaben des Bürgerlichen Gesetzbuchs (BGB) und des Vergaberechts.</w:t>
      </w:r>
    </w:p>
    <w:p>
      <w:pPr>
        <w:pStyle w:val="Listenabsatz"/>
        <w:numPr>
          <w:ilvl w:val="0"/>
          <w:numId w:val="16"/>
        </w:numPr>
        <w:ind w:left="284" w:hanging="284"/>
        <w:contextualSpacing w:val="0"/>
        <w:rPr>
          <w:rFonts w:cstheme="majorHAnsi"/>
        </w:rPr>
      </w:pPr>
      <w:r>
        <w:rPr>
          <w:rFonts w:eastAsia="Arial" w:cstheme="majorHAnsi"/>
        </w:rPr>
        <w:t>Im Übrigen gilt: Ist der Auftragnehmer aus von ihm zu vertretenden Gründen nicht in der Lage, die von der Auftraggeberin bestellte Leistung innerhalb der maßgeblichen Leistungsfrist ordnungsgemäß zu erbringen, so hat er dies der Auftraggeberin unverzüglich mitzuteilen. In diesem Falle ist die Auftraggeberin berechtigt, die Leistung solange bei einem Drittunternehmen ihrer Wahl zu bestellen, bis der Auftragnehmer seine Liefer-/Leistungsfähigkeit wieder anzeigt. Der Auftragnehmer hat der Auftraggeberin die Kosten, die dieser aus der Drittbeauftragung entstehen, nach Übersendung einer prüfbaren Aufstellung zu erstatten.</w:t>
      </w:r>
    </w:p>
    <w:p>
      <w:pPr>
        <w:pStyle w:val="berschrift1"/>
        <w:ind w:left="284" w:hanging="284"/>
        <w:rPr>
          <w:lang w:eastAsia="zh-CN"/>
        </w:rPr>
      </w:pPr>
      <w:bookmarkStart w:id="9" w:name="_Toc131483325"/>
      <w:r>
        <w:rPr>
          <w:lang w:eastAsia="zh-CN"/>
        </w:rPr>
        <w:t>§ 8 Bezahlung der Leistung durch die Auftraggeberin</w:t>
      </w:r>
      <w:bookmarkEnd w:id="9"/>
    </w:p>
    <w:p>
      <w:pPr>
        <w:pStyle w:val="Listenabsatz"/>
        <w:numPr>
          <w:ilvl w:val="0"/>
          <w:numId w:val="15"/>
        </w:numPr>
        <w:tabs>
          <w:tab w:val="right" w:pos="8921"/>
        </w:tabs>
        <w:suppressAutoHyphens/>
        <w:spacing w:before="0" w:after="160" w:line="259" w:lineRule="auto"/>
        <w:ind w:left="284" w:hanging="284"/>
        <w:contextualSpacing w:val="0"/>
        <w:rPr>
          <w:rFonts w:eastAsia="Arial" w:cstheme="majorHAnsi"/>
        </w:rPr>
      </w:pPr>
      <w:r>
        <w:rPr>
          <w:rFonts w:cstheme="majorHAnsi"/>
        </w:rPr>
        <w:t xml:space="preserve">Die vereinbarte Vergütung ist entsprechend der Angaben des Auftragsnehmers im Preisblatt der Ausschreibungsunterlagen. Von ihr umfasst sind, soweit im Einzelfall nicht anderes vereinbart, auch alle </w:t>
      </w:r>
      <w:r>
        <w:t xml:space="preserve">Nebenkosten, Reisezeiten, Reisekosten, Spesen u.a. Diese Kosten werden nicht gesondert vergütet und sind dementsprechend in die Preisangaben einzukalkulieren. Alle Preise </w:t>
      </w:r>
      <w:r>
        <w:rPr>
          <w:rFonts w:eastAsia="Arial" w:cstheme="majorHAnsi"/>
        </w:rPr>
        <w:t>verstehen sich inklusive aller Liefer-/Dienstleistungen und aller für die Leistungserbringung notwendigen Materialien/Hilfsmittel.</w:t>
      </w:r>
    </w:p>
    <w:p>
      <w:pPr>
        <w:pStyle w:val="Listenabsatz"/>
        <w:numPr>
          <w:ilvl w:val="0"/>
          <w:numId w:val="15"/>
        </w:numPr>
        <w:tabs>
          <w:tab w:val="right" w:pos="8921"/>
        </w:tabs>
        <w:suppressAutoHyphens/>
        <w:spacing w:before="0" w:after="160" w:line="259" w:lineRule="auto"/>
        <w:ind w:left="284" w:hanging="284"/>
        <w:contextualSpacing w:val="0"/>
        <w:rPr>
          <w:rFonts w:eastAsia="Arial" w:cstheme="majorHAnsi"/>
        </w:rPr>
      </w:pPr>
      <w:r>
        <w:rPr>
          <w:rFonts w:eastAsia="Arial" w:cstheme="majorHAnsi"/>
        </w:rPr>
        <w:lastRenderedPageBreak/>
        <w:t>Im Falle des Inkrafttretens relevanter tariflicher bzw. gesetzlicher Lohnerhöhungen sowie bei Erhöhung der gesetzlichen Sozialaufwendungen kann der Auftragnehmer einen Antrag auf Erhöhung des vereinbarten Entgelts bei der Auftraggeberin stellen, maximal in Höhe des tariflich oder gesetzlich festgelegten Prozentsatzes/Betrags. Der Auftragnehmer hat in diesem Fall der Auftraggeberin den entsprechenden tariflichen/gesetzlichen Nachweis einer solchen Erhöhung zur Prüfung vorzulegen. Die Angleichung erfolgt sodann durch entsprechende prozentuale Anpassung der im Preisblatt eingetragenen Beträge. Diese Anträge werden rückwirkend maximal vom ersten Tag des Eingangsmonats berücksichtigt, frühestens jedoch bei Inkrafttreten der tariflichen/gesetzlichen Erhöhung.</w:t>
      </w:r>
    </w:p>
    <w:p>
      <w:pPr>
        <w:pStyle w:val="Listenabsatz"/>
        <w:tabs>
          <w:tab w:val="right" w:pos="8921"/>
        </w:tabs>
        <w:suppressAutoHyphens/>
        <w:spacing w:before="0" w:after="160" w:line="259" w:lineRule="auto"/>
        <w:ind w:left="284"/>
        <w:contextualSpacing w:val="0"/>
        <w:rPr>
          <w:rFonts w:eastAsia="Arial" w:cstheme="majorHAnsi"/>
        </w:rPr>
      </w:pPr>
      <w:r>
        <w:rPr>
          <w:rFonts w:eastAsia="Arial" w:cstheme="majorHAnsi"/>
        </w:rPr>
        <w:t xml:space="preserve">Diese Regelung gilt entsprechend bei Lohnsenkungen bzw. Senkung der Sozialaufwendungen. In diesem Fall kann der Antrag auch von der Auftraggeberin gestellt werden. </w:t>
      </w:r>
    </w:p>
    <w:p>
      <w:pPr>
        <w:pStyle w:val="Listenabsatz"/>
        <w:numPr>
          <w:ilvl w:val="0"/>
          <w:numId w:val="15"/>
        </w:numPr>
        <w:tabs>
          <w:tab w:val="right" w:pos="8921"/>
        </w:tabs>
        <w:suppressAutoHyphens/>
        <w:spacing w:before="0" w:after="160" w:line="259" w:lineRule="auto"/>
        <w:ind w:left="284" w:hanging="284"/>
        <w:contextualSpacing w:val="0"/>
        <w:rPr>
          <w:rFonts w:eastAsia="Arial" w:cstheme="majorHAnsi"/>
        </w:rPr>
      </w:pPr>
      <w:r>
        <w:rPr>
          <w:rFonts w:eastAsia="Arial" w:cstheme="majorHAnsi"/>
        </w:rPr>
        <w:t xml:space="preserve">Der Auftragnehmer hat für die von ihm erbrachten Leistungen eine prüffähige Rechnung zu erstellen, in der am Ende der Umsatzsteuerbetrag auszuweisen ist. </w:t>
      </w:r>
    </w:p>
    <w:p>
      <w:pPr>
        <w:pStyle w:val="Listenabsatz"/>
        <w:numPr>
          <w:ilvl w:val="0"/>
          <w:numId w:val="15"/>
        </w:numPr>
        <w:tabs>
          <w:tab w:val="right" w:pos="8921"/>
        </w:tabs>
        <w:suppressAutoHyphens/>
        <w:ind w:left="284" w:hanging="284"/>
        <w:contextualSpacing w:val="0"/>
        <w:rPr>
          <w:rFonts w:cstheme="majorHAnsi"/>
        </w:rPr>
      </w:pPr>
      <w:r>
        <w:rPr>
          <w:rFonts w:cstheme="majorHAnsi"/>
        </w:rPr>
        <w:t>Die Rechnungsstellung erfolgt monatlich nach der Leistungserbringung und nur für die tatsächlich erbrachten Stundenleistungen. Abschlagszahlungen/Vorauszahlungen werden nicht geleistet. Nach Erbringung der Dienstleistung erfolgen durch den Auftragnehmer Rechnungsstellungen über den Zentralen Rechnungseingang RLP (ZRE).</w:t>
      </w:r>
    </w:p>
    <w:p>
      <w:pPr>
        <w:pStyle w:val="Listenabsatz"/>
        <w:tabs>
          <w:tab w:val="right" w:pos="8921"/>
        </w:tabs>
        <w:suppressAutoHyphens/>
        <w:ind w:left="284"/>
        <w:contextualSpacing w:val="0"/>
        <w:jc w:val="center"/>
        <w:rPr>
          <w:rFonts w:cs="Arial"/>
          <w:color w:val="000000"/>
          <w:lang w:eastAsia="de-DE"/>
        </w:rPr>
      </w:pPr>
      <w:r>
        <w:rPr>
          <w:rFonts w:cs="Arial"/>
          <w:color w:val="000000"/>
          <w:lang w:eastAsia="de-DE"/>
        </w:rPr>
        <w:t>LUX-Nummer: LUX5112-0000G; Postkorb: 5112-0000G-Zentr.Dienste</w:t>
      </w:r>
    </w:p>
    <w:p>
      <w:pPr>
        <w:pStyle w:val="Listenabsatz"/>
        <w:tabs>
          <w:tab w:val="right" w:pos="8921"/>
        </w:tabs>
        <w:suppressAutoHyphens/>
        <w:ind w:left="284"/>
        <w:contextualSpacing w:val="0"/>
        <w:rPr>
          <w:rFonts w:cstheme="majorHAnsi"/>
        </w:rPr>
      </w:pPr>
      <w:r>
        <w:rPr>
          <w:rFonts w:cstheme="majorHAnsi"/>
        </w:rPr>
        <w:t>Hierbei gilt es das beigefügte Merkblatt zum Einreichen elektronischer Rechnungen über den zentralen E-Rechnungseingang RLP (ZR) zu beachten.</w:t>
      </w:r>
      <w:r>
        <w:rPr>
          <w:rFonts w:cs="Arial"/>
          <w:color w:val="000000"/>
          <w:lang w:eastAsia="de-DE"/>
        </w:rPr>
        <w:br/>
      </w:r>
    </w:p>
    <w:p>
      <w:pPr>
        <w:autoSpaceDE w:val="0"/>
        <w:autoSpaceDN w:val="0"/>
        <w:adjustRightInd w:val="0"/>
        <w:ind w:left="284"/>
        <w:rPr>
          <w:rFonts w:cs="Arial"/>
          <w:color w:val="000000"/>
        </w:rPr>
      </w:pPr>
      <w:r>
        <w:rPr>
          <w:rFonts w:cs="Arial"/>
          <w:color w:val="000000"/>
          <w:lang w:eastAsia="de-DE"/>
        </w:rPr>
        <w:t xml:space="preserve">Rechnungen ohne Angabe des Bestellkennzeichens können nicht bearbeitet werden. Sollte das Bestellkennzeichen fehlen und es daraufhin zu einer verspäteten Zahlung kommen, ist diese Verzögerung nicht von der Stadtverwaltung Ludwigshafen zu vertreten. </w:t>
      </w:r>
      <w:r>
        <w:rPr>
          <w:rFonts w:cs="Arial"/>
          <w:color w:val="000000"/>
        </w:rPr>
        <w:t xml:space="preserve">Bitte auch die vergaberechtlichen Bedingungen beachten. </w:t>
      </w:r>
    </w:p>
    <w:p>
      <w:pPr>
        <w:numPr>
          <w:ilvl w:val="0"/>
          <w:numId w:val="15"/>
        </w:numPr>
        <w:ind w:left="284" w:hanging="284"/>
        <w:rPr>
          <w:rFonts w:cstheme="majorHAnsi"/>
        </w:rPr>
      </w:pPr>
      <w:r>
        <w:rPr>
          <w:rFonts w:cstheme="majorHAnsi"/>
          <w:lang w:eastAsia="zh-CN"/>
        </w:rPr>
        <w:t>Leistungen, die der Auftragnehmer ohne Auftrag oder unter eigenmächtiger Abweichung vom Vertrag ausführt, werden nicht vergütet. Solche Leistungen hat er auf Verlangen innerhalb einer angemessenen Frist zurückzunehmen oder zu beseitigen. Andernfalls können sie auf seine Kosten und Gefahr zurückgesandt oder beseitigt werden. Eine Vergütung steht ihm jedoch zu, wenn die Auftraggeberin solche Leistungen nachträglich annimmt.</w:t>
      </w:r>
    </w:p>
    <w:p>
      <w:pPr>
        <w:pStyle w:val="berschrift1"/>
        <w:rPr>
          <w:lang w:eastAsia="zh-CN"/>
        </w:rPr>
      </w:pPr>
      <w:bookmarkStart w:id="10" w:name="_Toc131483326"/>
      <w:r>
        <w:rPr>
          <w:lang w:eastAsia="zh-CN"/>
        </w:rPr>
        <w:t>§ 9 Zahlungsfristen; Skonto</w:t>
      </w:r>
      <w:bookmarkEnd w:id="10"/>
    </w:p>
    <w:p>
      <w:pPr>
        <w:numPr>
          <w:ilvl w:val="0"/>
          <w:numId w:val="25"/>
        </w:numPr>
        <w:ind w:left="284" w:hanging="284"/>
        <w:rPr>
          <w:rFonts w:cstheme="majorHAnsi"/>
          <w:lang w:eastAsia="zh-CN"/>
        </w:rPr>
      </w:pPr>
      <w:r>
        <w:rPr>
          <w:rFonts w:cstheme="majorHAnsi"/>
        </w:rPr>
        <w:t>Zahlungen sind 30 Tage nach Zugang einer prüffähigen Rechnung und vollständiger Leistungserbringung fällig. Die Zahlung erfolgt ohne Skontoabzug.</w:t>
      </w:r>
    </w:p>
    <w:p>
      <w:pPr>
        <w:numPr>
          <w:ilvl w:val="0"/>
          <w:numId w:val="25"/>
        </w:numPr>
        <w:ind w:left="284" w:hanging="284"/>
        <w:rPr>
          <w:rFonts w:cstheme="majorHAnsi"/>
          <w:lang w:eastAsia="zh-CN"/>
        </w:rPr>
      </w:pPr>
      <w:r>
        <w:rPr>
          <w:rFonts w:cstheme="majorHAnsi"/>
        </w:rPr>
        <w:t>Verzögerungen, z.B. wegen Vorlage nicht aufgegliederter Rechnungen, falscher Preise etc. hat der Auftragnehmer zu vertreten.</w:t>
      </w:r>
    </w:p>
    <w:p>
      <w:pPr>
        <w:pStyle w:val="berschrift1"/>
        <w:rPr>
          <w:lang w:eastAsia="zh-CN"/>
        </w:rPr>
      </w:pPr>
      <w:bookmarkStart w:id="11" w:name="_Toc131483327"/>
      <w:r>
        <w:rPr>
          <w:lang w:eastAsia="zh-CN"/>
        </w:rPr>
        <w:t>§ 10 Mitwirkungspflichten der Auftraggeberin</w:t>
      </w:r>
      <w:bookmarkEnd w:id="11"/>
    </w:p>
    <w:p>
      <w:pPr>
        <w:autoSpaceDE w:val="0"/>
        <w:rPr>
          <w:rFonts w:cstheme="majorHAnsi"/>
        </w:rPr>
      </w:pPr>
      <w:r>
        <w:rPr>
          <w:rFonts w:cstheme="majorHAnsi"/>
        </w:rPr>
        <w:t>Die Auftraggeberin wird den Auftragnehmer bei der Erbringung der vertraglichen Leistungen in angemessenem Umfang unterstützen. Sie wird ihm/ihr insbesondere die erforderlichen Informationen erteilen. Darüber hinaus gehende Mitwirkungspflichten bedürfen der gesonderten Vereinbarung.</w:t>
      </w:r>
    </w:p>
    <w:p>
      <w:pPr>
        <w:pStyle w:val="berschrift1"/>
        <w:rPr>
          <w:lang w:eastAsia="zh-CN"/>
        </w:rPr>
      </w:pPr>
      <w:bookmarkStart w:id="12" w:name="_Toc131483328"/>
      <w:r>
        <w:rPr>
          <w:lang w:eastAsia="zh-CN"/>
        </w:rPr>
        <w:lastRenderedPageBreak/>
        <w:t>§ 11 Leistungsänderungen durch die Auftraggeberin</w:t>
      </w:r>
      <w:bookmarkEnd w:id="12"/>
    </w:p>
    <w:p>
      <w:pPr>
        <w:pStyle w:val="Listenabsatz"/>
        <w:numPr>
          <w:ilvl w:val="0"/>
          <w:numId w:val="13"/>
        </w:numPr>
        <w:tabs>
          <w:tab w:val="center" w:pos="4749"/>
        </w:tabs>
        <w:contextualSpacing w:val="0"/>
        <w:rPr>
          <w:rFonts w:eastAsia="Arial" w:cstheme="majorHAnsi"/>
        </w:rPr>
      </w:pPr>
      <w:r>
        <w:rPr>
          <w:rFonts w:eastAsia="Arial" w:cstheme="majorHAnsi"/>
        </w:rPr>
        <w:t xml:space="preserve">Sofern neue aufsichtsrechtliche, gesetzliche oder gerichtliche Anordnungen oder sonstige, für die Auftraggeberin zwingende Anforderungen - bspw. eine Anpassung beim Leistungsbedarf - eine Änderung des Vertrages erfordern, werden die Partner den Vertrag entsprechend anpassen, es sei denn, dies ist für den Auftragnehmer unzumutbar. </w:t>
      </w:r>
    </w:p>
    <w:p>
      <w:pPr>
        <w:pStyle w:val="Listenabsatz"/>
        <w:numPr>
          <w:ilvl w:val="0"/>
          <w:numId w:val="13"/>
        </w:numPr>
        <w:tabs>
          <w:tab w:val="center" w:pos="4749"/>
        </w:tabs>
        <w:contextualSpacing w:val="0"/>
        <w:rPr>
          <w:rFonts w:eastAsia="Arial" w:cstheme="majorHAnsi"/>
        </w:rPr>
      </w:pPr>
      <w:r>
        <w:rPr>
          <w:rFonts w:eastAsia="Arial" w:cstheme="majorHAnsi"/>
        </w:rPr>
        <w:t>Das Änderungsverlangen ist schriftlich mitzuteilen.</w:t>
      </w:r>
    </w:p>
    <w:p>
      <w:pPr>
        <w:pStyle w:val="Listenabsatz"/>
        <w:numPr>
          <w:ilvl w:val="0"/>
          <w:numId w:val="13"/>
        </w:numPr>
        <w:contextualSpacing w:val="0"/>
        <w:rPr>
          <w:rFonts w:cstheme="majorHAnsi"/>
          <w:lang w:eastAsia="zh-CN"/>
        </w:rPr>
      </w:pPr>
      <w:r>
        <w:rPr>
          <w:rFonts w:eastAsia="Arial" w:cstheme="majorHAnsi"/>
        </w:rPr>
        <w:t>Der Auftragnehmer hat ein Änderungsverlangen der Auftraggeberin zu prüfen und dieser innerhalb von zehn Arbeitstagen schriftlich mitzuteilen, ob die gewünschte Leistungsänderung für ihn zumutbar ist.</w:t>
      </w:r>
    </w:p>
    <w:p>
      <w:pPr>
        <w:pStyle w:val="Listenabsatz"/>
        <w:numPr>
          <w:ilvl w:val="0"/>
          <w:numId w:val="13"/>
        </w:numPr>
        <w:autoSpaceDE w:val="0"/>
        <w:contextualSpacing w:val="0"/>
        <w:rPr>
          <w:rFonts w:cstheme="majorHAnsi"/>
        </w:rPr>
      </w:pPr>
      <w:r>
        <w:rPr>
          <w:rFonts w:cstheme="majorHAnsi"/>
        </w:rPr>
        <w:t>Ist das Änderungsverlangen zumutbar aber eine umfangreiche Prüfung des Änderungsverlangens erforderlich, hat der Auftragnehmer gleichzeitig ein entsprechendes Prüfungsangebot mit Angaben zur Vergütung zu unterbreiten. Die Auftraggeberin wird binnen weiteren zehn Arbeitstagen entweder den Prüfungsauftrag erteilen oder ablehnen.</w:t>
      </w:r>
    </w:p>
    <w:p>
      <w:pPr>
        <w:ind w:left="331"/>
        <w:rPr>
          <w:rFonts w:cstheme="majorHAnsi"/>
        </w:rPr>
      </w:pPr>
      <w:r>
        <w:rPr>
          <w:rFonts w:cstheme="majorHAnsi"/>
        </w:rPr>
        <w:t xml:space="preserve">Ist eine umfangreiche Prüfung des Änderungsverlangens nicht erforderlich, hat der Auftragnehmer entweder ein Realisierungsangebot unter Angabe von Leistungszeitraum, geplanten Terminen und Auswirkungen auf die Vergütung zu unterbreiten oder die Durchführung der beantragten Veränderung zu vereinbaren. </w:t>
      </w:r>
    </w:p>
    <w:p>
      <w:pPr>
        <w:pStyle w:val="Listenabsatz"/>
        <w:ind w:left="331"/>
        <w:contextualSpacing w:val="0"/>
        <w:rPr>
          <w:rFonts w:cstheme="majorHAnsi"/>
          <w:highlight w:val="yellow"/>
          <w:lang w:eastAsia="zh-CN"/>
        </w:rPr>
      </w:pPr>
      <w:r>
        <w:rPr>
          <w:rFonts w:cstheme="majorHAnsi"/>
        </w:rPr>
        <w:t>Kommt die notwendige Anpassung der vertraglichen Vereinbarung nicht zustande, so werden die Arbeiten auf der Grundlage des Vertrages weitergeführt. Die Leistungszeiträume verlängern sich um die Zahl der Arbeitstage, an denen infolge des Änderungsverlangens bzw. der Prüfung des Änderungsverlangens die Arbeiten unterbrochen wurden.</w:t>
      </w:r>
    </w:p>
    <w:p>
      <w:pPr>
        <w:pStyle w:val="Listenabsatz"/>
        <w:numPr>
          <w:ilvl w:val="0"/>
          <w:numId w:val="13"/>
        </w:numPr>
        <w:ind w:left="329" w:hanging="357"/>
        <w:contextualSpacing w:val="0"/>
        <w:rPr>
          <w:rFonts w:cstheme="majorHAnsi"/>
          <w:lang w:eastAsia="zh-CN"/>
        </w:rPr>
      </w:pPr>
      <w:r>
        <w:rPr>
          <w:rFonts w:eastAsia="Arial" w:cstheme="majorHAnsi"/>
        </w:rPr>
        <w:t xml:space="preserve">Hat die von der Auftraggeberin gewünschte Änderung weitere Auswirkungen (z.B. auf vereinbarte Leistungstermine), so hat der Auftragnehmer dies der Auftraggeberin unverzüglich schriftlich mitzuteilen. Die Partner haben sich unverzüglich zu einigen. Solange eine solche Einigung nicht zustande kommt, verbleibt es beim bisherigen Leistungsinhalt. </w:t>
      </w:r>
    </w:p>
    <w:p>
      <w:pPr>
        <w:pStyle w:val="Listenabsatz"/>
        <w:numPr>
          <w:ilvl w:val="0"/>
          <w:numId w:val="13"/>
        </w:numPr>
        <w:tabs>
          <w:tab w:val="center" w:pos="4749"/>
        </w:tabs>
        <w:ind w:left="329" w:hanging="357"/>
        <w:contextualSpacing w:val="0"/>
        <w:rPr>
          <w:rFonts w:eastAsia="Arial" w:cstheme="majorHAnsi"/>
        </w:rPr>
      </w:pPr>
      <w:r>
        <w:rPr>
          <w:rFonts w:eastAsia="Arial" w:cstheme="majorHAnsi"/>
        </w:rPr>
        <w:t>Alle Änderungen und Ergänzungen dieses Vertrages inklusive der Anlagen bedürfen einer von beiden Parteien unterzeichneten Vereinbarung und müssen ausdrücklich als Vertragsänderung (Nachtrag 1, Nachtrag 2 usw.) bezeichnet sein.</w:t>
      </w:r>
    </w:p>
    <w:p>
      <w:pPr>
        <w:pStyle w:val="Listenabsatz"/>
        <w:numPr>
          <w:ilvl w:val="0"/>
          <w:numId w:val="13"/>
        </w:numPr>
        <w:ind w:left="329" w:hanging="357"/>
        <w:contextualSpacing w:val="0"/>
        <w:rPr>
          <w:rFonts w:cstheme="majorHAnsi"/>
        </w:rPr>
      </w:pPr>
      <w:r>
        <w:rPr>
          <w:rFonts w:cstheme="majorHAnsi"/>
          <w:lang w:eastAsia="zh-CN"/>
        </w:rPr>
        <w:t>Werden durch Änderungen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pPr>
        <w:pStyle w:val="berschrift1"/>
        <w:rPr>
          <w:lang w:eastAsia="zh-CN"/>
        </w:rPr>
      </w:pPr>
      <w:bookmarkStart w:id="13" w:name="_Toc131483329"/>
      <w:r>
        <w:rPr>
          <w:lang w:eastAsia="zh-CN"/>
        </w:rPr>
        <w:t>§ 12 Ansprechpartner</w:t>
      </w:r>
      <w:bookmarkEnd w:id="13"/>
      <w:r>
        <w:rPr>
          <w:lang w:eastAsia="zh-CN"/>
        </w:rPr>
        <w:t xml:space="preserve"> </w:t>
      </w:r>
    </w:p>
    <w:p>
      <w:pPr>
        <w:rPr>
          <w:rFonts w:eastAsia="Arial" w:cstheme="majorHAnsi"/>
        </w:rPr>
      </w:pPr>
      <w:r>
        <w:rPr>
          <w:rFonts w:eastAsia="Arial" w:cstheme="majorHAnsi"/>
        </w:rPr>
        <w:t xml:space="preserve">Die Auftraggeberin und der Auftragnehmer benennen unverzüglich nach Abschluss des Vertrages jeweils eine fachkundige Person (einschließlich deren Kontaktdaten), die dem anderen Partner als Ansprechpartner*in zur Verfügung steht und befugt ist, erforderliche Entscheidungen zu treffen oder diese unverzüglich herbeizuführen. </w:t>
      </w:r>
    </w:p>
    <w:p>
      <w:pPr>
        <w:pStyle w:val="berschrift1"/>
        <w:rPr>
          <w:lang w:eastAsia="zh-CN"/>
        </w:rPr>
      </w:pPr>
      <w:bookmarkStart w:id="14" w:name="_Toc131483330"/>
      <w:r>
        <w:rPr>
          <w:lang w:eastAsia="zh-CN"/>
        </w:rPr>
        <w:t>§ 13 Haftung</w:t>
      </w:r>
      <w:bookmarkEnd w:id="14"/>
    </w:p>
    <w:p>
      <w:pPr>
        <w:pStyle w:val="Listenabsatz"/>
        <w:numPr>
          <w:ilvl w:val="0"/>
          <w:numId w:val="26"/>
        </w:numPr>
        <w:ind w:left="284" w:hanging="284"/>
        <w:contextualSpacing w:val="0"/>
        <w:rPr>
          <w:rFonts w:cstheme="majorHAnsi"/>
          <w:lang w:eastAsia="zh-CN"/>
        </w:rPr>
      </w:pPr>
      <w:r>
        <w:rPr>
          <w:rFonts w:cstheme="majorHAnsi"/>
          <w:lang w:eastAsia="zh-CN"/>
        </w:rPr>
        <w:t xml:space="preserve">Der Auftragnehmer trägt die Gefahr der Leistungserbringung der Erfüllung am Leistungsort. </w:t>
      </w:r>
    </w:p>
    <w:p>
      <w:pPr>
        <w:pStyle w:val="Listenabsatz"/>
        <w:numPr>
          <w:ilvl w:val="0"/>
          <w:numId w:val="26"/>
        </w:numPr>
        <w:ind w:left="284" w:hanging="284"/>
        <w:contextualSpacing w:val="0"/>
        <w:rPr>
          <w:rFonts w:cstheme="majorHAnsi"/>
          <w:lang w:eastAsia="zh-CN"/>
        </w:rPr>
      </w:pPr>
      <w:r>
        <w:rPr>
          <w:rFonts w:cstheme="majorHAnsi"/>
          <w:lang w:eastAsia="zh-CN"/>
        </w:rPr>
        <w:t>Sollte die Dienstleistung mangelhaft sein tritt keine Erfüllung ein. Die Auftraggeberin hat einen Anspruch auf Nacherfüllung / Ersatzleistung, sofern möglich. Hierfür setzt die Auftraggeberin dem Auftragnehmer eine Frist.</w:t>
      </w:r>
    </w:p>
    <w:p>
      <w:pPr>
        <w:pStyle w:val="Listenabsatz"/>
        <w:numPr>
          <w:ilvl w:val="0"/>
          <w:numId w:val="26"/>
        </w:numPr>
        <w:ind w:left="284" w:hanging="284"/>
        <w:contextualSpacing w:val="0"/>
        <w:rPr>
          <w:rFonts w:cstheme="majorHAnsi"/>
          <w:lang w:eastAsia="zh-CN"/>
        </w:rPr>
      </w:pPr>
      <w:r>
        <w:rPr>
          <w:rFonts w:cstheme="majorHAnsi"/>
          <w:lang w:eastAsia="zh-CN"/>
        </w:rPr>
        <w:lastRenderedPageBreak/>
        <w:t xml:space="preserve">Erfolgt keine Ersatzleistung innerhalb der gesetzten Frist, kann die Auftraggeberin eine angemessene Frist mit dem Hinweis setzen, dass sie die Ersatzleistung ablehne. In diesem Fall kann sie die Vergütung mindern oder vom Vertrag zurücktreten sowie Schadensersatz oder Ersatz vergeblicher Aufwendungen verlangen. Ersatzleistungen haben kostenlos zu erfolgen. </w:t>
      </w:r>
    </w:p>
    <w:p>
      <w:pPr>
        <w:pStyle w:val="Listenabsatz"/>
        <w:numPr>
          <w:ilvl w:val="0"/>
          <w:numId w:val="26"/>
        </w:numPr>
        <w:ind w:left="284" w:hanging="284"/>
        <w:contextualSpacing w:val="0"/>
        <w:rPr>
          <w:rFonts w:cstheme="majorHAnsi"/>
          <w:lang w:eastAsia="zh-CN"/>
        </w:rPr>
      </w:pPr>
      <w:r>
        <w:rPr>
          <w:rFonts w:cstheme="majorHAnsi"/>
          <w:lang w:eastAsia="zh-CN"/>
        </w:rPr>
        <w:t>Verletzt der Auftragnehmer oder einer seiner Erfüllungsgehilfen schuldhaft (vorsätzlich, grob fahrlässig oder fahrlässig) die ihm obliegenden Pflichten oder Aufgaben, so hat der Auftragnehmer dem Auftraggeber nach den gesetzlichen Bestimmungen den daraus entstehenden Schaden zu ersetzen.</w:t>
      </w:r>
    </w:p>
    <w:p>
      <w:pPr>
        <w:pStyle w:val="berschrift1"/>
        <w:rPr>
          <w:rFonts w:eastAsiaTheme="minorHAnsi" w:cstheme="minorBidi"/>
          <w:bCs/>
          <w:szCs w:val="22"/>
          <w:lang w:eastAsia="zh-CN"/>
        </w:rPr>
      </w:pPr>
      <w:bookmarkStart w:id="15" w:name="_Toc131483331"/>
      <w:r>
        <w:rPr>
          <w:rFonts w:eastAsiaTheme="minorHAnsi" w:cstheme="minorBidi"/>
          <w:bCs/>
          <w:szCs w:val="22"/>
          <w:lang w:eastAsia="zh-CN"/>
        </w:rPr>
        <w:t xml:space="preserve">§ 14 Laufzeit des </w:t>
      </w:r>
      <w:bookmarkEnd w:id="15"/>
      <w:r>
        <w:rPr>
          <w:rFonts w:eastAsiaTheme="minorHAnsi" w:cstheme="minorBidi"/>
          <w:bCs/>
          <w:szCs w:val="22"/>
          <w:lang w:eastAsia="zh-CN"/>
        </w:rPr>
        <w:t>Vertrages</w:t>
      </w:r>
    </w:p>
    <w:p>
      <w:pPr>
        <w:pStyle w:val="Listenabsatz"/>
        <w:numPr>
          <w:ilvl w:val="0"/>
          <w:numId w:val="4"/>
        </w:numPr>
        <w:ind w:left="284" w:hanging="284"/>
        <w:contextualSpacing w:val="0"/>
        <w:rPr>
          <w:rFonts w:cstheme="majorHAnsi"/>
          <w:lang w:eastAsia="zh-CN"/>
        </w:rPr>
      </w:pPr>
      <w:r>
        <w:rPr>
          <w:rFonts w:cstheme="majorHAnsi"/>
          <w:lang w:eastAsia="zh-CN"/>
        </w:rPr>
        <w:t>Der Vertrag kommt mit dem Zuschlag im Rahmen des Vergabeverfahrens zustande. Eine Vertragsunterschrift ist für beide Vertragsparteien nicht notwendig.</w:t>
      </w:r>
    </w:p>
    <w:p>
      <w:pPr>
        <w:pStyle w:val="Listenabsatz"/>
        <w:numPr>
          <w:ilvl w:val="0"/>
          <w:numId w:val="4"/>
        </w:numPr>
        <w:ind w:left="284" w:hanging="284"/>
        <w:contextualSpacing w:val="0"/>
        <w:rPr>
          <w:rFonts w:cstheme="majorHAnsi"/>
          <w:lang w:eastAsia="zh-CN"/>
        </w:rPr>
      </w:pPr>
      <w:r>
        <w:rPr>
          <w:rFonts w:cstheme="majorHAnsi"/>
          <w:lang w:eastAsia="zh-CN"/>
        </w:rPr>
        <w:t>Der Vertrag beginnt am 02.07.2026 und wird für eine feste Laufzeit von einem Jahr geschlossen. Er endet automatisch mit Ablauf des 28.06.2027, ohne dass es einer Kündigung bedarf.</w:t>
      </w:r>
    </w:p>
    <w:p>
      <w:pPr>
        <w:pStyle w:val="Listenabsatz"/>
        <w:numPr>
          <w:ilvl w:val="0"/>
          <w:numId w:val="4"/>
        </w:numPr>
        <w:ind w:left="284" w:hanging="284"/>
        <w:contextualSpacing w:val="0"/>
        <w:rPr>
          <w:rFonts w:cs="Arial"/>
        </w:rPr>
      </w:pPr>
      <w:bookmarkStart w:id="16" w:name="_Toc131483332"/>
      <w:r>
        <w:rPr>
          <w:rFonts w:cstheme="majorHAnsi"/>
          <w:lang w:eastAsia="zh-CN"/>
        </w:rPr>
        <w:t>Es wird eine Probezeit von zwei Monaten ab Vertragsbeginn vereinbart. Während der Probezeit ist die Auftraggeberin berechtigt, den Vertrag bei unzureichender Leistungserbringung mit einer Frist von einem Monat zu kündigen, sofern zuvor ein Beschwerdegespräch stattgefunden hat und dieses keine nachhaltige Verbesserung der Leistungserbringung bewirkt hat.</w:t>
      </w:r>
      <w:r>
        <w:br/>
      </w:r>
    </w:p>
    <w:p>
      <w:pPr>
        <w:rPr>
          <w:rFonts w:cs="Arial"/>
          <w:b/>
          <w:bCs/>
        </w:rPr>
      </w:pPr>
      <w:r>
        <w:rPr>
          <w:b/>
          <w:bCs/>
          <w:lang w:eastAsia="zh-CN"/>
        </w:rPr>
        <w:t>§ 15 Recht zur Kündigung</w:t>
      </w:r>
      <w:bookmarkEnd w:id="16"/>
    </w:p>
    <w:p>
      <w:pPr>
        <w:pStyle w:val="Listenabsatz"/>
        <w:numPr>
          <w:ilvl w:val="0"/>
          <w:numId w:val="6"/>
        </w:numPr>
        <w:ind w:left="284" w:hanging="284"/>
        <w:contextualSpacing w:val="0"/>
        <w:rPr>
          <w:rFonts w:cstheme="majorHAnsi"/>
          <w:lang w:eastAsia="zh-CN"/>
        </w:rPr>
      </w:pPr>
      <w:r>
        <w:rPr>
          <w:rFonts w:cstheme="majorHAnsi"/>
          <w:lang w:eastAsia="zh-CN"/>
        </w:rPr>
        <w:t>Die ordentliche Kündigung dieses Vertrages ist für beide Parteien ausgeschlossen, soweit in § 14 nichts Abweichendes geregelt ist.</w:t>
      </w:r>
    </w:p>
    <w:p>
      <w:pPr>
        <w:pStyle w:val="Listenabsatz"/>
        <w:numPr>
          <w:ilvl w:val="0"/>
          <w:numId w:val="6"/>
        </w:numPr>
        <w:ind w:left="284" w:right="88" w:hanging="284"/>
        <w:contextualSpacing w:val="0"/>
        <w:rPr>
          <w:rFonts w:cstheme="majorHAnsi"/>
        </w:rPr>
      </w:pPr>
      <w:r>
        <w:rPr>
          <w:rFonts w:eastAsia="Arial" w:cstheme="majorHAnsi"/>
        </w:rPr>
        <w:t xml:space="preserve">Das Recht zur außerordentlichen Kündigung aus wichtigem Grund bleibt unberührt. </w:t>
      </w:r>
    </w:p>
    <w:p>
      <w:pPr>
        <w:pStyle w:val="Listenabsatz"/>
        <w:numPr>
          <w:ilvl w:val="0"/>
          <w:numId w:val="6"/>
        </w:numPr>
        <w:ind w:left="284" w:right="88" w:hanging="284"/>
        <w:contextualSpacing w:val="0"/>
        <w:rPr>
          <w:rFonts w:cstheme="majorHAnsi"/>
        </w:rPr>
      </w:pPr>
      <w:r>
        <w:rPr>
          <w:rFonts w:eastAsia="Arial" w:cstheme="majorHAnsi"/>
        </w:rPr>
        <w:t xml:space="preserve">Ein wichtiger Grund, der die Auftraggeberin zur fristlosen Kündigung berechtigt, liegt insbesondere vor, wenn </w:t>
      </w:r>
    </w:p>
    <w:p>
      <w:pPr>
        <w:pStyle w:val="Listenabsatz"/>
        <w:widowControl w:val="0"/>
        <w:numPr>
          <w:ilvl w:val="0"/>
          <w:numId w:val="8"/>
        </w:numPr>
        <w:autoSpaceDE w:val="0"/>
        <w:autoSpaceDN w:val="0"/>
        <w:spacing w:before="0" w:after="160" w:line="259" w:lineRule="auto"/>
        <w:ind w:left="709" w:right="272" w:hanging="425"/>
        <w:contextualSpacing w:val="0"/>
        <w:jc w:val="left"/>
        <w:rPr>
          <w:rFonts w:cstheme="majorHAnsi"/>
        </w:rPr>
      </w:pPr>
      <w:r>
        <w:rPr>
          <w:rFonts w:eastAsia="Arial" w:cstheme="majorHAnsi"/>
        </w:rPr>
        <w:t xml:space="preserve">der Auftraggeberin Umstände bekannt werden, die sie dazu berechtigt hätten, den Auftragnehmer aus dem Vergabeverfahren, das zum Abschluss des vorliegenden Vertrages durchgeführt wurde, auszuschließen, unabhängig davon, wann diese Umstände eingetreten sind, </w:t>
      </w:r>
      <w:r>
        <w:rPr>
          <w:rFonts w:cstheme="majorHAnsi"/>
        </w:rPr>
        <w:t>an dem Vertrag eine wesentliche Änderung vorgenommen wurde, die ein neues Vergabeverfahren nach den geltenden gesetzlichen Bestimmungen erforderlich gemacht</w:t>
      </w:r>
      <w:r>
        <w:rPr>
          <w:rFonts w:cstheme="majorHAnsi"/>
          <w:spacing w:val="-4"/>
        </w:rPr>
        <w:t xml:space="preserve"> </w:t>
      </w:r>
      <w:r>
        <w:rPr>
          <w:rFonts w:cstheme="majorHAnsi"/>
        </w:rPr>
        <w:t>hätte,</w:t>
      </w:r>
    </w:p>
    <w:p>
      <w:pPr>
        <w:pStyle w:val="Listenabsatz"/>
        <w:widowControl w:val="0"/>
        <w:numPr>
          <w:ilvl w:val="0"/>
          <w:numId w:val="8"/>
        </w:numPr>
        <w:tabs>
          <w:tab w:val="left" w:pos="1221"/>
        </w:tabs>
        <w:autoSpaceDE w:val="0"/>
        <w:autoSpaceDN w:val="0"/>
        <w:ind w:left="709" w:right="45" w:hanging="425"/>
        <w:contextualSpacing w:val="0"/>
        <w:rPr>
          <w:rFonts w:cstheme="majorHAnsi"/>
        </w:rPr>
      </w:pPr>
      <w:r>
        <w:rPr>
          <w:rFonts w:cstheme="majorHAnsi"/>
        </w:rPr>
        <w:t>der Vertrag auf Grund eines rechtskräftig festgestellten schweren Verstoßes gegen den Vertrag über die Arbeitsweise der Europäischen Union oder das Vergaberecht nicht an den Auftragnehmer hätte vergeben werden dürfen,</w:t>
      </w:r>
    </w:p>
    <w:p>
      <w:pPr>
        <w:pStyle w:val="Listenabsatz"/>
        <w:numPr>
          <w:ilvl w:val="0"/>
          <w:numId w:val="8"/>
        </w:numPr>
        <w:ind w:left="709" w:hanging="425"/>
        <w:contextualSpacing w:val="0"/>
        <w:rPr>
          <w:rFonts w:cstheme="majorHAnsi"/>
          <w:lang w:eastAsia="zh-CN"/>
        </w:rPr>
      </w:pPr>
      <w:r>
        <w:rPr>
          <w:rFonts w:eastAsia="Arial" w:cstheme="majorHAnsi"/>
        </w:rPr>
        <w:t>der Auftragnehmer wiederholt gegen wesentliche Pflichten dieses Vertrages verstoßen hat.</w:t>
      </w:r>
    </w:p>
    <w:p>
      <w:pPr>
        <w:pStyle w:val="Listenabsatz"/>
        <w:numPr>
          <w:ilvl w:val="0"/>
          <w:numId w:val="8"/>
        </w:numPr>
        <w:ind w:left="709" w:hanging="425"/>
        <w:contextualSpacing w:val="0"/>
        <w:rPr>
          <w:rFonts w:cstheme="majorHAnsi"/>
          <w:lang w:eastAsia="zh-CN"/>
        </w:rPr>
      </w:pPr>
      <w:r>
        <w:rPr>
          <w:rFonts w:cstheme="majorHAnsi"/>
        </w:rPr>
        <w:t>wenn der Auftragnehmer Personen, die auf Seiten der Auftraggeberin mit der Vorbereitung, dem Abschluss oder der Durchführung des Vertrages befasst sind oder waren, Vorteile anbietet, verspricht oder gewährt. Dies gilt auch dann, wenn die Vorteile im Interesse der genannten Personen, ihnen nahestehenden Personen oder im Interesse der einen oder anderen einem Dritten angeboten, versprochen oder gewährt werden. Handlungen des Auftragnehmers stehen Handlungen derjenigen Personen gleich, die von ihm mit der Vorbereitung, dem Abschluss oder der Durchführung des Vertrages betraut sind oder mit seiner Kenntnis in dieser Weise tätig werden.</w:t>
      </w:r>
    </w:p>
    <w:p>
      <w:pPr>
        <w:suppressAutoHyphens/>
        <w:autoSpaceDE w:val="0"/>
        <w:ind w:left="709"/>
        <w:rPr>
          <w:rFonts w:cstheme="majorHAnsi"/>
        </w:rPr>
      </w:pPr>
      <w:r>
        <w:rPr>
          <w:rFonts w:cstheme="majorHAnsi"/>
        </w:rPr>
        <w:lastRenderedPageBreak/>
        <w:t>Was unter Vorteilen im vorgenannten Sinne zu verstehen ist, richtet sich nach § 12 UWG und §§ 331 ff. StGB. Dazu gehört auch die Gewährung von Darlehen. Nicht als Vorteile im Sinne des Abs. 1 gelten die der Geschäftswerbung dienenden Gegenstände oder Leistungen, wie sie im redlichen Geschäftsverkehr nach einheitlichen Gesichtspunkten (z.B. anlässlich des Neujahrstages) von dem Auftragnehmer seinen Kunden gewährt werden, insbesondere Reklamegegenstände von geringem Wert, die als solche mit der Firma des Auftragnehmers dauerhaft und deutlich sichtbar gekennzeichnet sind. Im Falle von a) kann der Auftraggeber ferner vom Vertrage zurücktreten. Er ist dann berechtigt, aber nicht verpflichtet, die empfangenen Leistungen zurückzugeben. Behält er diese, so hat er ihren Wert zu vergüten; gibt er sie zurück, so muss auch der Auftragnehmer die empfangenen Leistungen zurückgeben. In jedem Falle ist der Auftragnehmer verpflichtet, dem Auftraggeber den Schaden zu ersetzen, der ihm durch den Rücktritt vom Vertrage entsteht. Dagegen stehen dem Auftragnehmer gegen den Auftraggeber auf Grund des Rücktritts keine Ansprüche wegen Nichterfüllung des Vertrages zu. Im Übrigen gelten die gesetzlichen Vorschriften über den Rücktritt.</w:t>
      </w:r>
    </w:p>
    <w:p>
      <w:pPr>
        <w:pStyle w:val="Listenabsatz"/>
        <w:numPr>
          <w:ilvl w:val="0"/>
          <w:numId w:val="8"/>
        </w:numPr>
        <w:ind w:left="709" w:hanging="425"/>
        <w:contextualSpacing w:val="0"/>
        <w:rPr>
          <w:rFonts w:cstheme="majorHAnsi"/>
          <w:lang w:eastAsia="zh-CN"/>
        </w:rPr>
      </w:pPr>
      <w:r>
        <w:rPr>
          <w:rFonts w:cstheme="majorHAnsi"/>
          <w:lang w:eastAsia="zh-CN"/>
        </w:rPr>
        <w:t>Die fristlose Kündigung ist schriftlich zu erklären.</w:t>
      </w:r>
    </w:p>
    <w:p>
      <w:pPr>
        <w:pStyle w:val="berschrift1"/>
        <w:rPr>
          <w:lang w:eastAsia="zh-CN"/>
        </w:rPr>
      </w:pPr>
      <w:bookmarkStart w:id="17" w:name="_Toc131483333"/>
      <w:r>
        <w:rPr>
          <w:lang w:eastAsia="zh-CN"/>
        </w:rPr>
        <w:t>§ 16 Rechtsfolgen der Kündigung</w:t>
      </w:r>
      <w:bookmarkEnd w:id="17"/>
    </w:p>
    <w:p>
      <w:pPr>
        <w:pStyle w:val="Listenabsatz"/>
        <w:numPr>
          <w:ilvl w:val="0"/>
          <w:numId w:val="27"/>
        </w:numPr>
        <w:ind w:left="284" w:hanging="284"/>
        <w:contextualSpacing w:val="0"/>
        <w:rPr>
          <w:rFonts w:cstheme="majorHAnsi"/>
          <w:lang w:eastAsia="zh-CN"/>
        </w:rPr>
      </w:pPr>
      <w:r>
        <w:rPr>
          <w:rFonts w:cstheme="majorHAnsi"/>
          <w:lang w:eastAsia="zh-CN"/>
        </w:rPr>
        <w:t>Nach erfolgter fristloser Kündigung durch die Auftraggeberin, ist diese berechtigt, aber nicht verpflichtet, die empfangenen Leistungen zurückzugeben.</w:t>
      </w:r>
    </w:p>
    <w:p>
      <w:pPr>
        <w:pStyle w:val="Listenabsatz"/>
        <w:numPr>
          <w:ilvl w:val="0"/>
          <w:numId w:val="27"/>
        </w:numPr>
        <w:ind w:left="284" w:hanging="284"/>
        <w:contextualSpacing w:val="0"/>
        <w:rPr>
          <w:rFonts w:cstheme="majorHAnsi"/>
          <w:lang w:eastAsia="zh-CN"/>
        </w:rPr>
      </w:pPr>
      <w:r>
        <w:rPr>
          <w:rFonts w:cstheme="majorHAnsi"/>
          <w:lang w:eastAsia="zh-CN"/>
        </w:rPr>
        <w:t>Andernfalls werden die gegenseitigen Leistungen nach den gesetzlichen Vorschriften rückabgewickelt.</w:t>
      </w:r>
    </w:p>
    <w:p>
      <w:pPr>
        <w:pStyle w:val="Listenabsatz"/>
        <w:numPr>
          <w:ilvl w:val="0"/>
          <w:numId w:val="27"/>
        </w:numPr>
        <w:spacing w:before="0" w:after="160" w:line="259" w:lineRule="auto"/>
        <w:ind w:left="284" w:hanging="284"/>
        <w:contextualSpacing w:val="0"/>
        <w:jc w:val="left"/>
        <w:rPr>
          <w:rFonts w:cstheme="majorHAnsi"/>
          <w:lang w:eastAsia="zh-CN"/>
        </w:rPr>
      </w:pPr>
      <w:r>
        <w:rPr>
          <w:rFonts w:cstheme="majorHAnsi"/>
          <w:lang w:eastAsia="zh-CN"/>
        </w:rPr>
        <w:t>Weitergehende gesetzliche oder vertragliche Ansprüche bleiben unberührt.</w:t>
      </w:r>
    </w:p>
    <w:p>
      <w:pPr>
        <w:pStyle w:val="berschrift1"/>
        <w:rPr>
          <w:lang w:eastAsia="zh-CN"/>
        </w:rPr>
      </w:pPr>
      <w:bookmarkStart w:id="18" w:name="_Toc131483334"/>
      <w:r>
        <w:rPr>
          <w:lang w:eastAsia="zh-CN"/>
        </w:rPr>
        <w:t>§ 17 Vertraulichkeits- und Geheimhaltungsvereinbarung</w:t>
      </w:r>
      <w:bookmarkEnd w:id="18"/>
    </w:p>
    <w:p>
      <w:pPr>
        <w:pStyle w:val="Listenabsatz"/>
        <w:numPr>
          <w:ilvl w:val="0"/>
          <w:numId w:val="18"/>
        </w:numPr>
        <w:ind w:left="284" w:hanging="284"/>
        <w:contextualSpacing w:val="0"/>
        <w:rPr>
          <w:rFonts w:cstheme="majorHAnsi"/>
          <w:lang w:eastAsia="zh-CN"/>
        </w:rPr>
      </w:pPr>
      <w:r>
        <w:rPr>
          <w:rFonts w:eastAsia="Arial" w:cstheme="majorHAnsi"/>
        </w:rPr>
        <w:t xml:space="preserve">Alle Unterlagen, die den Bietern im Zusammenhang mit dem Vergabeverfahren oder der Vertragsdurchführung überlassen werden, dürfen ohne Zustimmung der Auftraggeberin nicht für andere Zwecke verwendet, vervielfältigt oder Dritten zugänglich gemacht werden.  </w:t>
      </w:r>
    </w:p>
    <w:p>
      <w:pPr>
        <w:pStyle w:val="Listenabsatz"/>
        <w:numPr>
          <w:ilvl w:val="0"/>
          <w:numId w:val="18"/>
        </w:numPr>
        <w:ind w:left="284" w:hanging="284"/>
        <w:contextualSpacing w:val="0"/>
        <w:rPr>
          <w:rFonts w:eastAsia="Arial" w:cstheme="majorHAnsi"/>
        </w:rPr>
      </w:pPr>
      <w:r>
        <w:rPr>
          <w:rFonts w:eastAsia="Arial" w:cstheme="majorHAnsi"/>
        </w:rPr>
        <w:t>Das von dem Auftragnehmer beschäftigte Personal ist zur entsprechenden Geheimhaltung zu verpflichten. Dies gilt auch für alle vom Auftragnehmer im Zusammenhang mit diesem Projekt beauftragten Unternehmen. Dem Auftragnehmer ist es nicht gestattet, soweit gesetzlich nichts Anderes geregelt ist, Auskünfte an Dritte, insbesondere an Medien, Wohlfahrtsverbände, Vereine, Religionsgemeinschaften und die Bürger*innen, ohne vorherige schriftliche Genehmigung des Auftraggebers zu erteilen. Der Auftragnehmer ist verpflichtet, sein Personal entsprechend zu belehren, zu kontrollieren und diese Belehrung schriftlich zu dokumentieren.</w:t>
      </w:r>
      <w:r>
        <w:rPr>
          <w:rFonts w:eastAsia="Arial" w:cstheme="majorHAnsi"/>
        </w:rPr>
        <w:br/>
      </w:r>
    </w:p>
    <w:p>
      <w:pPr>
        <w:pStyle w:val="Listenabsatz"/>
        <w:numPr>
          <w:ilvl w:val="0"/>
          <w:numId w:val="18"/>
        </w:numPr>
        <w:ind w:left="284" w:hanging="284"/>
        <w:contextualSpacing w:val="0"/>
        <w:rPr>
          <w:rFonts w:eastAsia="Arial" w:cstheme="majorHAnsi"/>
        </w:rPr>
      </w:pPr>
      <w:r>
        <w:rPr>
          <w:rFonts w:eastAsia="Arial" w:cstheme="majorHAnsi"/>
        </w:rPr>
        <w:t xml:space="preserve">Die Pflicht zur Verschwiegenheit wirkt auch nach Beendigung des Auftragsverhältnisses fort. Nach der Erteilung des Zuschlags unterzeichnet der Auftragnehmer persönlich oder durch einen Vertretungsberechtigen in der Dienststelle der Auftraggeberin eine Verpflichtungserklärung im Sinne von § 1 Verpflichtungsgesetz. </w:t>
      </w:r>
    </w:p>
    <w:p>
      <w:pPr>
        <w:pStyle w:val="Listenabsatz"/>
        <w:numPr>
          <w:ilvl w:val="0"/>
          <w:numId w:val="18"/>
        </w:numPr>
        <w:ind w:left="284" w:hanging="284"/>
        <w:contextualSpacing w:val="0"/>
        <w:rPr>
          <w:rFonts w:cstheme="majorHAnsi"/>
          <w:lang w:eastAsia="zh-CN"/>
        </w:rPr>
      </w:pPr>
      <w:r>
        <w:rPr>
          <w:rFonts w:eastAsia="Arial" w:cstheme="majorHAnsi"/>
        </w:rPr>
        <w:t>Der Auftragnehmer</w:t>
      </w:r>
      <w:r>
        <w:rPr>
          <w:rFonts w:cstheme="majorHAnsi"/>
          <w:lang w:eastAsia="zh-CN"/>
        </w:rPr>
        <w:t xml:space="preserve"> garantiert, dass er im Fall der Verarbeitung personenbezogener Daten die Bestimmungen der Datenschutzgrundverordnung (DSGVO) in der jeweils gültigen Fassung beachtet und umsetzt. </w:t>
      </w:r>
    </w:p>
    <w:p>
      <w:pPr>
        <w:pStyle w:val="berschrift1"/>
        <w:rPr>
          <w:lang w:eastAsia="zh-CN"/>
        </w:rPr>
      </w:pPr>
      <w:bookmarkStart w:id="19" w:name="_Toc131483335"/>
      <w:r>
        <w:rPr>
          <w:lang w:eastAsia="zh-CN"/>
        </w:rPr>
        <w:lastRenderedPageBreak/>
        <w:t>§ 18 Formerfordernis für Änderungen und Ergänzungen</w:t>
      </w:r>
      <w:bookmarkEnd w:id="19"/>
      <w:r>
        <w:rPr>
          <w:lang w:eastAsia="zh-CN"/>
        </w:rPr>
        <w:t xml:space="preserve"> </w:t>
      </w:r>
    </w:p>
    <w:p>
      <w:pPr>
        <w:rPr>
          <w:rFonts w:cstheme="majorHAnsi"/>
          <w:lang w:eastAsia="zh-CN"/>
        </w:rPr>
      </w:pPr>
      <w:r>
        <w:rPr>
          <w:rFonts w:eastAsia="Arial" w:cstheme="majorHAnsi"/>
        </w:rPr>
        <w:t>Änderungen und Ergänzungen dieses Vertrages sowie der auf diesen beruhenden Einzelaufträgen bedürfen zu ihrer Wirksamkeit der Schriftform. Das gilt auch für die Aufhebung des Schriftformerfordernisses selbst.</w:t>
      </w:r>
    </w:p>
    <w:p>
      <w:pPr>
        <w:pStyle w:val="berschrift1"/>
        <w:rPr>
          <w:lang w:eastAsia="zh-CN"/>
        </w:rPr>
      </w:pPr>
      <w:bookmarkStart w:id="20" w:name="_Toc131483336"/>
      <w:r>
        <w:rPr>
          <w:lang w:eastAsia="zh-CN"/>
        </w:rPr>
        <w:t>§ 19 Vertragssprache</w:t>
      </w:r>
      <w:bookmarkEnd w:id="20"/>
      <w:r>
        <w:rPr>
          <w:lang w:eastAsia="zh-CN"/>
        </w:rPr>
        <w:t xml:space="preserve"> </w:t>
      </w:r>
    </w:p>
    <w:p>
      <w:pPr>
        <w:rPr>
          <w:rFonts w:eastAsia="Arial" w:cstheme="majorHAnsi"/>
        </w:rPr>
      </w:pPr>
      <w:r>
        <w:rPr>
          <w:rFonts w:eastAsia="Arial" w:cstheme="majorHAnsi"/>
        </w:rPr>
        <w:t>Vertragssprache sowie Sprache zur Kommunikation in den Einzelaufträgen ist Deutsch.</w:t>
      </w:r>
    </w:p>
    <w:p>
      <w:pPr>
        <w:pStyle w:val="berschrift1"/>
        <w:rPr>
          <w:lang w:eastAsia="zh-CN"/>
        </w:rPr>
      </w:pPr>
      <w:bookmarkStart w:id="21" w:name="_Toc131483337"/>
      <w:r>
        <w:rPr>
          <w:lang w:eastAsia="zh-CN"/>
        </w:rPr>
        <w:t>§ 20 Anwendbares Recht und Gerichtsstand</w:t>
      </w:r>
      <w:bookmarkEnd w:id="21"/>
      <w:r>
        <w:rPr>
          <w:lang w:eastAsia="zh-CN"/>
        </w:rPr>
        <w:t xml:space="preserve"> </w:t>
      </w:r>
    </w:p>
    <w:p>
      <w:pPr>
        <w:rPr>
          <w:rFonts w:eastAsia="Arial" w:cstheme="majorHAnsi"/>
        </w:rPr>
      </w:pPr>
      <w:r>
        <w:rPr>
          <w:rFonts w:eastAsia="Arial" w:cstheme="majorHAnsi"/>
        </w:rPr>
        <w:t xml:space="preserve">Es gilt ausschließlich das Recht der Bundesrepublik Deutschland. </w:t>
      </w:r>
    </w:p>
    <w:p>
      <w:pPr>
        <w:rPr>
          <w:rFonts w:cstheme="majorHAnsi"/>
          <w:lang w:eastAsia="zh-CN"/>
        </w:rPr>
      </w:pPr>
      <w:r>
        <w:rPr>
          <w:rFonts w:eastAsia="Arial" w:cstheme="majorHAnsi"/>
        </w:rPr>
        <w:t>Gerichtsstand ist Ludwigshafen am Rhein.</w:t>
      </w:r>
    </w:p>
    <w:p>
      <w:pPr>
        <w:pStyle w:val="berschrift1"/>
        <w:rPr>
          <w:lang w:eastAsia="zh-CN"/>
        </w:rPr>
      </w:pPr>
      <w:bookmarkStart w:id="22" w:name="_Toc131483338"/>
      <w:r>
        <w:rPr>
          <w:lang w:eastAsia="zh-CN"/>
        </w:rPr>
        <w:t>§ 21 Salvatorische Klausel</w:t>
      </w:r>
      <w:bookmarkEnd w:id="22"/>
    </w:p>
    <w:p>
      <w:pPr>
        <w:rPr>
          <w:rFonts w:eastAsia="Arial" w:cstheme="majorHAnsi"/>
        </w:rPr>
      </w:pPr>
      <w:r>
        <w:rPr>
          <w:rFonts w:eastAsia="Arial" w:cstheme="majorHAnsi"/>
        </w:rPr>
        <w:t>Sollten einzelne oder mehrere Bestimmungen dieses Vertrages ganz oder teilweise unwirksam oder undurchführbar sein oder werden, so berührt dies nicht die Wirksamkeit der übrigen Regelungen des Vertrages. In einem solchen Fall werden sich die Parteien auf eine wirksame Regelung verständigen, die ihrem rechtlichen und wirtschaftlichen Inhalt nach der unwirksamen Regelung am nächsten kommt. Entsprechendes gilt für den Fall, dass der vorliegende Vertrag eine Lücke aufweist.</w:t>
      </w:r>
    </w:p>
    <w:p>
      <w:pPr>
        <w:rPr>
          <w:rFonts w:eastAsia="Arial" w:cstheme="majorHAnsi"/>
        </w:rPr>
      </w:pPr>
    </w:p>
    <w:p>
      <w:pPr>
        <w:rPr>
          <w:rFonts w:eastAsia="Arial" w:cstheme="majorHAnsi"/>
        </w:rPr>
      </w:pPr>
    </w:p>
    <w:p>
      <w:pPr>
        <w:rPr>
          <w:rFonts w:eastAsia="Arial" w:cstheme="majorHAnsi"/>
          <w:lang w:val="en-GB"/>
        </w:rPr>
      </w:pPr>
    </w:p>
    <w:p>
      <w:pPr>
        <w:rPr>
          <w:rFonts w:eastAsia="Arial" w:cstheme="majorHAnsi"/>
          <w:lang w:val="en-GB"/>
        </w:rPr>
      </w:pPr>
    </w:p>
    <w:p>
      <w:pPr>
        <w:rPr>
          <w:rFonts w:cstheme="majorHAnsi"/>
          <w:lang w:val="en-GB"/>
        </w:rPr>
      </w:pPr>
    </w:p>
    <w:sectPr>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603302"/>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4</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pPr>
      <w:r>
        <w:separator/>
      </w:r>
    </w:p>
  </w:footnote>
  <w:footnote w:type="continuationSeparator" w:id="0">
    <w:p>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1" w15:restartNumberingAfterBreak="0">
    <w:nsid w:val="040C60E2"/>
    <w:multiLevelType w:val="hybridMultilevel"/>
    <w:tmpl w:val="D812DD40"/>
    <w:lvl w:ilvl="0" w:tplc="FC7EF32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45466D"/>
    <w:multiLevelType w:val="hybridMultilevel"/>
    <w:tmpl w:val="E8EEB5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4D6C65"/>
    <w:multiLevelType w:val="hybridMultilevel"/>
    <w:tmpl w:val="47087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A260E6"/>
    <w:multiLevelType w:val="hybridMultilevel"/>
    <w:tmpl w:val="485E8A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FB77BF"/>
    <w:multiLevelType w:val="hybridMultilevel"/>
    <w:tmpl w:val="6832BE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354F23"/>
    <w:multiLevelType w:val="hybridMultilevel"/>
    <w:tmpl w:val="6142A696"/>
    <w:lvl w:ilvl="0" w:tplc="5B842F0E">
      <w:start w:val="1"/>
      <w:numFmt w:val="decimal"/>
      <w:lvlText w:val="%1."/>
      <w:lvlJc w:val="left"/>
      <w:pPr>
        <w:ind w:left="1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C8C4AA">
      <w:start w:val="1"/>
      <w:numFmt w:val="lowerLetter"/>
      <w:lvlText w:val="%2"/>
      <w:lvlJc w:val="left"/>
      <w:pPr>
        <w:ind w:left="1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740674">
      <w:start w:val="1"/>
      <w:numFmt w:val="lowerRoman"/>
      <w:lvlText w:val="%3"/>
      <w:lvlJc w:val="left"/>
      <w:pPr>
        <w:ind w:left="2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50D6CC">
      <w:start w:val="1"/>
      <w:numFmt w:val="decimal"/>
      <w:lvlText w:val="%4"/>
      <w:lvlJc w:val="left"/>
      <w:pPr>
        <w:ind w:left="3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54D7E6">
      <w:start w:val="1"/>
      <w:numFmt w:val="lowerLetter"/>
      <w:lvlText w:val="%5"/>
      <w:lvlJc w:val="left"/>
      <w:pPr>
        <w:ind w:left="3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6A435A">
      <w:start w:val="1"/>
      <w:numFmt w:val="lowerRoman"/>
      <w:lvlText w:val="%6"/>
      <w:lvlJc w:val="left"/>
      <w:pPr>
        <w:ind w:left="4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6A6496">
      <w:start w:val="1"/>
      <w:numFmt w:val="decimal"/>
      <w:lvlText w:val="%7"/>
      <w:lvlJc w:val="left"/>
      <w:pPr>
        <w:ind w:left="5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48D640">
      <w:start w:val="1"/>
      <w:numFmt w:val="lowerLetter"/>
      <w:lvlText w:val="%8"/>
      <w:lvlJc w:val="left"/>
      <w:pPr>
        <w:ind w:left="6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1C2C7A">
      <w:start w:val="1"/>
      <w:numFmt w:val="lowerRoman"/>
      <w:lvlText w:val="%9"/>
      <w:lvlJc w:val="left"/>
      <w:pPr>
        <w:ind w:left="6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CC1CAA"/>
    <w:multiLevelType w:val="hybridMultilevel"/>
    <w:tmpl w:val="9108789C"/>
    <w:lvl w:ilvl="0" w:tplc="6AAE37E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1CF2A99"/>
    <w:multiLevelType w:val="hybridMultilevel"/>
    <w:tmpl w:val="0F4293C0"/>
    <w:lvl w:ilvl="0" w:tplc="EFCE5F22">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0A07A8"/>
    <w:multiLevelType w:val="hybridMultilevel"/>
    <w:tmpl w:val="B96E50F4"/>
    <w:lvl w:ilvl="0" w:tplc="09EE62EE">
      <w:start w:val="1"/>
      <w:numFmt w:val="decimal"/>
      <w:lvlText w:val="%1."/>
      <w:lvlJc w:val="left"/>
      <w:pPr>
        <w:ind w:left="331" w:hanging="360"/>
      </w:pPr>
      <w:rPr>
        <w:rFonts w:hint="default"/>
      </w:rPr>
    </w:lvl>
    <w:lvl w:ilvl="1" w:tplc="04070019" w:tentative="1">
      <w:start w:val="1"/>
      <w:numFmt w:val="lowerLetter"/>
      <w:lvlText w:val="%2."/>
      <w:lvlJc w:val="left"/>
      <w:pPr>
        <w:ind w:left="1051" w:hanging="360"/>
      </w:pPr>
    </w:lvl>
    <w:lvl w:ilvl="2" w:tplc="0407001B" w:tentative="1">
      <w:start w:val="1"/>
      <w:numFmt w:val="lowerRoman"/>
      <w:lvlText w:val="%3."/>
      <w:lvlJc w:val="right"/>
      <w:pPr>
        <w:ind w:left="1771" w:hanging="180"/>
      </w:pPr>
    </w:lvl>
    <w:lvl w:ilvl="3" w:tplc="0407000F" w:tentative="1">
      <w:start w:val="1"/>
      <w:numFmt w:val="decimal"/>
      <w:lvlText w:val="%4."/>
      <w:lvlJc w:val="left"/>
      <w:pPr>
        <w:ind w:left="2491" w:hanging="360"/>
      </w:pPr>
    </w:lvl>
    <w:lvl w:ilvl="4" w:tplc="04070019" w:tentative="1">
      <w:start w:val="1"/>
      <w:numFmt w:val="lowerLetter"/>
      <w:lvlText w:val="%5."/>
      <w:lvlJc w:val="left"/>
      <w:pPr>
        <w:ind w:left="3211" w:hanging="360"/>
      </w:pPr>
    </w:lvl>
    <w:lvl w:ilvl="5" w:tplc="0407001B" w:tentative="1">
      <w:start w:val="1"/>
      <w:numFmt w:val="lowerRoman"/>
      <w:lvlText w:val="%6."/>
      <w:lvlJc w:val="right"/>
      <w:pPr>
        <w:ind w:left="3931" w:hanging="180"/>
      </w:pPr>
    </w:lvl>
    <w:lvl w:ilvl="6" w:tplc="0407000F" w:tentative="1">
      <w:start w:val="1"/>
      <w:numFmt w:val="decimal"/>
      <w:lvlText w:val="%7."/>
      <w:lvlJc w:val="left"/>
      <w:pPr>
        <w:ind w:left="4651" w:hanging="360"/>
      </w:pPr>
    </w:lvl>
    <w:lvl w:ilvl="7" w:tplc="04070019" w:tentative="1">
      <w:start w:val="1"/>
      <w:numFmt w:val="lowerLetter"/>
      <w:lvlText w:val="%8."/>
      <w:lvlJc w:val="left"/>
      <w:pPr>
        <w:ind w:left="5371" w:hanging="360"/>
      </w:pPr>
    </w:lvl>
    <w:lvl w:ilvl="8" w:tplc="0407001B" w:tentative="1">
      <w:start w:val="1"/>
      <w:numFmt w:val="lowerRoman"/>
      <w:lvlText w:val="%9."/>
      <w:lvlJc w:val="right"/>
      <w:pPr>
        <w:ind w:left="6091" w:hanging="180"/>
      </w:pPr>
    </w:lvl>
  </w:abstractNum>
  <w:abstractNum w:abstractNumId="10" w15:restartNumberingAfterBreak="0">
    <w:nsid w:val="2870024D"/>
    <w:multiLevelType w:val="hybridMultilevel"/>
    <w:tmpl w:val="FC3637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24E1864"/>
    <w:multiLevelType w:val="hybridMultilevel"/>
    <w:tmpl w:val="F5D21D3E"/>
    <w:lvl w:ilvl="0" w:tplc="2CD09EFA">
      <w:start w:val="1"/>
      <w:numFmt w:val="lowerLetter"/>
      <w:lvlText w:val="%1)"/>
      <w:lvlJc w:val="left"/>
      <w:pPr>
        <w:ind w:left="1080" w:hanging="360"/>
      </w:pPr>
      <w:rPr>
        <w:rFonts w:asciiTheme="majorHAnsi" w:eastAsia="Arial" w:hAnsiTheme="majorHAnsi" w:cstheme="majorHAnsi" w:hint="default"/>
        <w:sz w:val="22"/>
        <w:szCs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408675E"/>
    <w:multiLevelType w:val="hybridMultilevel"/>
    <w:tmpl w:val="900A71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40B4DE9"/>
    <w:multiLevelType w:val="hybridMultilevel"/>
    <w:tmpl w:val="98F0CFF0"/>
    <w:lvl w:ilvl="0" w:tplc="64A8220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0A5328"/>
    <w:multiLevelType w:val="hybridMultilevel"/>
    <w:tmpl w:val="A4A61D8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C8C037A"/>
    <w:multiLevelType w:val="hybridMultilevel"/>
    <w:tmpl w:val="2B8E38D6"/>
    <w:lvl w:ilvl="0" w:tplc="C7D83BC6">
      <w:start w:val="4"/>
      <w:numFmt w:val="decimal"/>
      <w:lvlText w:val="%1"/>
      <w:lvlJc w:val="left"/>
      <w:pPr>
        <w:ind w:left="1285" w:hanging="1133"/>
      </w:pPr>
      <w:rPr>
        <w:rFonts w:ascii="Arial" w:eastAsia="Arial" w:hAnsi="Arial" w:cs="Arial" w:hint="default"/>
        <w:b/>
        <w:bCs/>
        <w:w w:val="99"/>
        <w:sz w:val="32"/>
        <w:szCs w:val="32"/>
      </w:rPr>
    </w:lvl>
    <w:lvl w:ilvl="1" w:tplc="6966E6BC">
      <w:start w:val="1"/>
      <w:numFmt w:val="lowerLetter"/>
      <w:lvlText w:val="%2)"/>
      <w:lvlJc w:val="left"/>
      <w:pPr>
        <w:ind w:left="1220" w:hanging="360"/>
      </w:pPr>
      <w:rPr>
        <w:rFonts w:ascii="Arial" w:eastAsia="Arial" w:hAnsi="Arial" w:cs="Arial" w:hint="default"/>
        <w:spacing w:val="-1"/>
        <w:w w:val="100"/>
        <w:sz w:val="22"/>
        <w:szCs w:val="22"/>
      </w:rPr>
    </w:lvl>
    <w:lvl w:ilvl="2" w:tplc="58C879CE">
      <w:numFmt w:val="bullet"/>
      <w:lvlText w:val="•"/>
      <w:lvlJc w:val="left"/>
      <w:pPr>
        <w:ind w:left="2256" w:hanging="360"/>
      </w:pPr>
      <w:rPr>
        <w:rFonts w:hint="default"/>
      </w:rPr>
    </w:lvl>
    <w:lvl w:ilvl="3" w:tplc="5E08D358">
      <w:numFmt w:val="bullet"/>
      <w:lvlText w:val="•"/>
      <w:lvlJc w:val="left"/>
      <w:pPr>
        <w:ind w:left="3232" w:hanging="360"/>
      </w:pPr>
      <w:rPr>
        <w:rFonts w:hint="default"/>
      </w:rPr>
    </w:lvl>
    <w:lvl w:ilvl="4" w:tplc="86D05058">
      <w:numFmt w:val="bullet"/>
      <w:lvlText w:val="•"/>
      <w:lvlJc w:val="left"/>
      <w:pPr>
        <w:ind w:left="4208" w:hanging="360"/>
      </w:pPr>
      <w:rPr>
        <w:rFonts w:hint="default"/>
      </w:rPr>
    </w:lvl>
    <w:lvl w:ilvl="5" w:tplc="B71A13F4">
      <w:numFmt w:val="bullet"/>
      <w:lvlText w:val="•"/>
      <w:lvlJc w:val="left"/>
      <w:pPr>
        <w:ind w:left="5185" w:hanging="360"/>
      </w:pPr>
      <w:rPr>
        <w:rFonts w:hint="default"/>
      </w:rPr>
    </w:lvl>
    <w:lvl w:ilvl="6" w:tplc="BF84C3B8">
      <w:numFmt w:val="bullet"/>
      <w:lvlText w:val="•"/>
      <w:lvlJc w:val="left"/>
      <w:pPr>
        <w:ind w:left="6161" w:hanging="360"/>
      </w:pPr>
      <w:rPr>
        <w:rFonts w:hint="default"/>
      </w:rPr>
    </w:lvl>
    <w:lvl w:ilvl="7" w:tplc="F68C0764">
      <w:numFmt w:val="bullet"/>
      <w:lvlText w:val="•"/>
      <w:lvlJc w:val="left"/>
      <w:pPr>
        <w:ind w:left="7137" w:hanging="360"/>
      </w:pPr>
      <w:rPr>
        <w:rFonts w:hint="default"/>
      </w:rPr>
    </w:lvl>
    <w:lvl w:ilvl="8" w:tplc="D9DC502E">
      <w:numFmt w:val="bullet"/>
      <w:lvlText w:val="•"/>
      <w:lvlJc w:val="left"/>
      <w:pPr>
        <w:ind w:left="8113" w:hanging="360"/>
      </w:pPr>
      <w:rPr>
        <w:rFonts w:hint="default"/>
      </w:rPr>
    </w:lvl>
  </w:abstractNum>
  <w:abstractNum w:abstractNumId="16" w15:restartNumberingAfterBreak="0">
    <w:nsid w:val="40B222CA"/>
    <w:multiLevelType w:val="hybridMultilevel"/>
    <w:tmpl w:val="49606F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09319C"/>
    <w:multiLevelType w:val="hybridMultilevel"/>
    <w:tmpl w:val="D9400EB8"/>
    <w:lvl w:ilvl="0" w:tplc="63E24AA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A077A2"/>
    <w:multiLevelType w:val="hybridMultilevel"/>
    <w:tmpl w:val="D9F64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BA17A1"/>
    <w:multiLevelType w:val="hybridMultilevel"/>
    <w:tmpl w:val="47087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C61BE0"/>
    <w:multiLevelType w:val="hybridMultilevel"/>
    <w:tmpl w:val="3ADEC5F2"/>
    <w:lvl w:ilvl="0" w:tplc="7B887BD2">
      <w:start w:val="1"/>
      <w:numFmt w:val="lowerLetter"/>
      <w:lvlText w:val="%1)"/>
      <w:lvlJc w:val="left"/>
      <w:pPr>
        <w:ind w:left="720" w:hanging="360"/>
      </w:pPr>
      <w:rPr>
        <w:rFonts w:asciiTheme="majorHAnsi" w:eastAsiaTheme="minorHAnsi" w:hAnsiTheme="majorHAnsi" w:cstheme="majorHAnsi"/>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8EB099A"/>
    <w:multiLevelType w:val="hybridMultilevel"/>
    <w:tmpl w:val="04801F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7B09F3"/>
    <w:multiLevelType w:val="hybridMultilevel"/>
    <w:tmpl w:val="48122FBE"/>
    <w:lvl w:ilvl="0" w:tplc="FB7C6468">
      <w:start w:val="1"/>
      <w:numFmt w:val="decimal"/>
      <w:lvlText w:val="%1."/>
      <w:lvlJc w:val="left"/>
      <w:pPr>
        <w:ind w:left="720" w:hanging="360"/>
      </w:pPr>
      <w:rPr>
        <w:rFonts w:asciiTheme="majorHAnsi" w:eastAsia="Arial" w:hAnsiTheme="majorHAnsi" w:cstheme="majorHAnsi"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AFA7100"/>
    <w:multiLevelType w:val="hybridMultilevel"/>
    <w:tmpl w:val="AB824D9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5B673A1F"/>
    <w:multiLevelType w:val="hybridMultilevel"/>
    <w:tmpl w:val="EED62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3E1E09"/>
    <w:multiLevelType w:val="hybridMultilevel"/>
    <w:tmpl w:val="46BCE7CE"/>
    <w:lvl w:ilvl="0" w:tplc="AB5EB1A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6B51453D"/>
    <w:multiLevelType w:val="hybridMultilevel"/>
    <w:tmpl w:val="114858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D7F6A1C"/>
    <w:multiLevelType w:val="hybridMultilevel"/>
    <w:tmpl w:val="141E0F48"/>
    <w:lvl w:ilvl="0" w:tplc="804ED244">
      <w:start w:val="1"/>
      <w:numFmt w:val="lowerLetter"/>
      <w:lvlText w:val="(%1)"/>
      <w:lvlJc w:val="left"/>
      <w:pPr>
        <w:ind w:left="1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CC4626">
      <w:start w:val="1"/>
      <w:numFmt w:val="lowerLetter"/>
      <w:lvlText w:val="%2"/>
      <w:lvlJc w:val="left"/>
      <w:pPr>
        <w:ind w:left="1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D66DE4">
      <w:start w:val="1"/>
      <w:numFmt w:val="lowerRoman"/>
      <w:lvlText w:val="%3"/>
      <w:lvlJc w:val="left"/>
      <w:pPr>
        <w:ind w:left="2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8427BE">
      <w:start w:val="1"/>
      <w:numFmt w:val="decimal"/>
      <w:lvlText w:val="%4"/>
      <w:lvlJc w:val="left"/>
      <w:pPr>
        <w:ind w:left="3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F2C698">
      <w:start w:val="1"/>
      <w:numFmt w:val="lowerLetter"/>
      <w:lvlText w:val="%5"/>
      <w:lvlJc w:val="left"/>
      <w:pPr>
        <w:ind w:left="3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CEB794">
      <w:start w:val="1"/>
      <w:numFmt w:val="lowerRoman"/>
      <w:lvlText w:val="%6"/>
      <w:lvlJc w:val="left"/>
      <w:pPr>
        <w:ind w:left="4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40B142">
      <w:start w:val="1"/>
      <w:numFmt w:val="decimal"/>
      <w:lvlText w:val="%7"/>
      <w:lvlJc w:val="left"/>
      <w:pPr>
        <w:ind w:left="5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287B24">
      <w:start w:val="1"/>
      <w:numFmt w:val="lowerLetter"/>
      <w:lvlText w:val="%8"/>
      <w:lvlJc w:val="left"/>
      <w:pPr>
        <w:ind w:left="6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C85DBE">
      <w:start w:val="1"/>
      <w:numFmt w:val="lowerRoman"/>
      <w:lvlText w:val="%9"/>
      <w:lvlJc w:val="left"/>
      <w:pPr>
        <w:ind w:left="6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FF313D8"/>
    <w:multiLevelType w:val="hybridMultilevel"/>
    <w:tmpl w:val="2618B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882E41"/>
    <w:multiLevelType w:val="hybridMultilevel"/>
    <w:tmpl w:val="86C6E6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2DC3EA2"/>
    <w:multiLevelType w:val="hybridMultilevel"/>
    <w:tmpl w:val="7494ECDC"/>
    <w:lvl w:ilvl="0" w:tplc="51D6EB62">
      <w:start w:val="1"/>
      <w:numFmt w:val="decimal"/>
      <w:lvlText w:val="%1."/>
      <w:lvlJc w:val="left"/>
      <w:pPr>
        <w:ind w:left="331" w:hanging="360"/>
      </w:pPr>
      <w:rPr>
        <w:rFonts w:asciiTheme="majorHAnsi" w:eastAsia="Arial" w:hAnsiTheme="majorHAnsi" w:cstheme="majorHAnsi" w:hint="default"/>
        <w:sz w:val="22"/>
        <w:szCs w:val="22"/>
      </w:rPr>
    </w:lvl>
    <w:lvl w:ilvl="1" w:tplc="04070019" w:tentative="1">
      <w:start w:val="1"/>
      <w:numFmt w:val="lowerLetter"/>
      <w:lvlText w:val="%2."/>
      <w:lvlJc w:val="left"/>
      <w:pPr>
        <w:ind w:left="1051" w:hanging="360"/>
      </w:pPr>
    </w:lvl>
    <w:lvl w:ilvl="2" w:tplc="0407001B" w:tentative="1">
      <w:start w:val="1"/>
      <w:numFmt w:val="lowerRoman"/>
      <w:lvlText w:val="%3."/>
      <w:lvlJc w:val="right"/>
      <w:pPr>
        <w:ind w:left="1771" w:hanging="180"/>
      </w:pPr>
    </w:lvl>
    <w:lvl w:ilvl="3" w:tplc="0407000F" w:tentative="1">
      <w:start w:val="1"/>
      <w:numFmt w:val="decimal"/>
      <w:lvlText w:val="%4."/>
      <w:lvlJc w:val="left"/>
      <w:pPr>
        <w:ind w:left="2491" w:hanging="360"/>
      </w:pPr>
    </w:lvl>
    <w:lvl w:ilvl="4" w:tplc="04070019" w:tentative="1">
      <w:start w:val="1"/>
      <w:numFmt w:val="lowerLetter"/>
      <w:lvlText w:val="%5."/>
      <w:lvlJc w:val="left"/>
      <w:pPr>
        <w:ind w:left="3211" w:hanging="360"/>
      </w:pPr>
    </w:lvl>
    <w:lvl w:ilvl="5" w:tplc="0407001B" w:tentative="1">
      <w:start w:val="1"/>
      <w:numFmt w:val="lowerRoman"/>
      <w:lvlText w:val="%6."/>
      <w:lvlJc w:val="right"/>
      <w:pPr>
        <w:ind w:left="3931" w:hanging="180"/>
      </w:pPr>
    </w:lvl>
    <w:lvl w:ilvl="6" w:tplc="0407000F" w:tentative="1">
      <w:start w:val="1"/>
      <w:numFmt w:val="decimal"/>
      <w:lvlText w:val="%7."/>
      <w:lvlJc w:val="left"/>
      <w:pPr>
        <w:ind w:left="4651" w:hanging="360"/>
      </w:pPr>
    </w:lvl>
    <w:lvl w:ilvl="7" w:tplc="04070019" w:tentative="1">
      <w:start w:val="1"/>
      <w:numFmt w:val="lowerLetter"/>
      <w:lvlText w:val="%8."/>
      <w:lvlJc w:val="left"/>
      <w:pPr>
        <w:ind w:left="5371" w:hanging="360"/>
      </w:pPr>
    </w:lvl>
    <w:lvl w:ilvl="8" w:tplc="0407001B" w:tentative="1">
      <w:start w:val="1"/>
      <w:numFmt w:val="lowerRoman"/>
      <w:lvlText w:val="%9."/>
      <w:lvlJc w:val="right"/>
      <w:pPr>
        <w:ind w:left="6091" w:hanging="180"/>
      </w:pPr>
    </w:lvl>
  </w:abstractNum>
  <w:abstractNum w:abstractNumId="31" w15:restartNumberingAfterBreak="0">
    <w:nsid w:val="74C73AFD"/>
    <w:multiLevelType w:val="hybridMultilevel"/>
    <w:tmpl w:val="FD567204"/>
    <w:lvl w:ilvl="0" w:tplc="00000001">
      <w:start w:val="1"/>
      <w:numFmt w:val="lowerLetter"/>
      <w:lvlText w:val="%1)"/>
      <w:lvlJc w:val="left"/>
      <w:pPr>
        <w:ind w:left="720" w:hanging="360"/>
      </w:pPr>
      <w:rPr>
        <w:rFonts w:ascii="Arial" w:hAnsi="Arial" w:cs="Arial"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9684B3D"/>
    <w:multiLevelType w:val="hybridMultilevel"/>
    <w:tmpl w:val="6414B8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98681C"/>
    <w:multiLevelType w:val="hybridMultilevel"/>
    <w:tmpl w:val="46105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9E7CEA"/>
    <w:multiLevelType w:val="hybridMultilevel"/>
    <w:tmpl w:val="390E356A"/>
    <w:lvl w:ilvl="0" w:tplc="734A63AA">
      <w:start w:val="1"/>
      <w:numFmt w:val="lowerLetter"/>
      <w:lvlText w:val="%1)"/>
      <w:lvlJc w:val="left"/>
      <w:pPr>
        <w:ind w:left="1080" w:hanging="360"/>
      </w:pPr>
      <w:rPr>
        <w:rFonts w:asciiTheme="majorHAnsi" w:eastAsia="Arial" w:hAnsiTheme="majorHAnsi" w:cstheme="majorHAnsi" w:hint="default"/>
        <w:b w:val="0"/>
        <w:sz w:val="22"/>
        <w:szCs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7F7E6A1A"/>
    <w:multiLevelType w:val="hybridMultilevel"/>
    <w:tmpl w:val="7856F316"/>
    <w:lvl w:ilvl="0" w:tplc="67A81BA8">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4"/>
  </w:num>
  <w:num w:numId="4">
    <w:abstractNumId w:val="2"/>
  </w:num>
  <w:num w:numId="5">
    <w:abstractNumId w:val="7"/>
  </w:num>
  <w:num w:numId="6">
    <w:abstractNumId w:val="21"/>
  </w:num>
  <w:num w:numId="7">
    <w:abstractNumId w:val="6"/>
  </w:num>
  <w:num w:numId="8">
    <w:abstractNumId w:val="11"/>
  </w:num>
  <w:num w:numId="9">
    <w:abstractNumId w:val="15"/>
  </w:num>
  <w:num w:numId="10">
    <w:abstractNumId w:val="20"/>
  </w:num>
  <w:num w:numId="11">
    <w:abstractNumId w:val="31"/>
  </w:num>
  <w:num w:numId="12">
    <w:abstractNumId w:val="32"/>
  </w:num>
  <w:num w:numId="13">
    <w:abstractNumId w:val="30"/>
  </w:num>
  <w:num w:numId="14">
    <w:abstractNumId w:val="17"/>
  </w:num>
  <w:num w:numId="15">
    <w:abstractNumId w:val="3"/>
  </w:num>
  <w:num w:numId="16">
    <w:abstractNumId w:val="16"/>
  </w:num>
  <w:num w:numId="17">
    <w:abstractNumId w:val="0"/>
  </w:num>
  <w:num w:numId="18">
    <w:abstractNumId w:val="22"/>
  </w:num>
  <w:num w:numId="19">
    <w:abstractNumId w:val="10"/>
  </w:num>
  <w:num w:numId="20">
    <w:abstractNumId w:val="27"/>
  </w:num>
  <w:num w:numId="21">
    <w:abstractNumId w:val="34"/>
  </w:num>
  <w:num w:numId="22">
    <w:abstractNumId w:val="29"/>
  </w:num>
  <w:num w:numId="23">
    <w:abstractNumId w:val="26"/>
  </w:num>
  <w:num w:numId="24">
    <w:abstractNumId w:val="12"/>
  </w:num>
  <w:num w:numId="25">
    <w:abstractNumId w:val="19"/>
  </w:num>
  <w:num w:numId="26">
    <w:abstractNumId w:val="14"/>
  </w:num>
  <w:num w:numId="27">
    <w:abstractNumId w:val="24"/>
  </w:num>
  <w:num w:numId="28">
    <w:abstractNumId w:val="9"/>
  </w:num>
  <w:num w:numId="29">
    <w:abstractNumId w:val="33"/>
  </w:num>
  <w:num w:numId="30">
    <w:abstractNumId w:val="25"/>
  </w:num>
  <w:num w:numId="31">
    <w:abstractNumId w:val="5"/>
  </w:num>
  <w:num w:numId="32">
    <w:abstractNumId w:val="8"/>
  </w:num>
  <w:num w:numId="33">
    <w:abstractNumId w:val="35"/>
  </w:num>
  <w:num w:numId="34">
    <w:abstractNumId w:val="18"/>
  </w:num>
  <w:num w:numId="35">
    <w:abstractNumId w:val="28"/>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formatting="1" w:enforcement="1" w:cryptProviderType="rsaAES" w:cryptAlgorithmClass="hash" w:cryptAlgorithmType="typeAny" w:cryptAlgorithmSid="14" w:cryptSpinCount="100000" w:hash="QlF/XW7cRvvBH5TD0DkFKVK6wS7K3AkzsYO8DCxwvTJnAE53tbA+qFjYci8UtwpyrPYJKr6r3VHDQCRhYk7nIw==" w:salt="dtm27HjOXXyLkj5qRov2C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6AD59-A1CF-4C0B-870E-CFA508CF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40" w:lineRule="auto"/>
      <w:jc w:val="both"/>
    </w:pPr>
    <w:rPr>
      <w:rFonts w:asciiTheme="majorHAnsi" w:hAnsiTheme="majorHAnsi"/>
    </w:rPr>
  </w:style>
  <w:style w:type="paragraph" w:styleId="berschrift1">
    <w:name w:val="heading 1"/>
    <w:basedOn w:val="Standard"/>
    <w:next w:val="Standard"/>
    <w:link w:val="berschrift1Zchn"/>
    <w:uiPriority w:val="9"/>
    <w:qFormat/>
    <w:pPr>
      <w:keepNext/>
      <w:keepLines/>
      <w:spacing w:before="240" w:after="240"/>
      <w:jc w:val="center"/>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pPr>
      <w:ind w:left="720"/>
      <w:contextualSpacing/>
    </w:pPr>
  </w:style>
  <w:style w:type="paragraph" w:styleId="Kommentartext">
    <w:name w:val="annotation text"/>
    <w:basedOn w:val="Standard"/>
    <w:link w:val="KommentartextZchn1"/>
    <w:uiPriority w:val="99"/>
    <w:semiHidden/>
    <w:unhideWhenUsed/>
    <w:pPr>
      <w:suppressAutoHyphens/>
      <w:spacing w:after="0"/>
    </w:pPr>
    <w:rPr>
      <w:rFonts w:ascii="Times New Roman" w:eastAsia="Times New Roman" w:hAnsi="Times New Roman" w:cs="Times New Roman"/>
      <w:sz w:val="20"/>
      <w:szCs w:val="20"/>
      <w:lang w:eastAsia="zh-CN"/>
    </w:rPr>
  </w:style>
  <w:style w:type="character" w:customStyle="1" w:styleId="KommentartextZchn">
    <w:name w:val="Kommentartext Zchn"/>
    <w:basedOn w:val="Absatz-Standardschriftart"/>
    <w:uiPriority w:val="99"/>
    <w:semiHidden/>
    <w:rPr>
      <w:sz w:val="20"/>
      <w:szCs w:val="20"/>
    </w:rPr>
  </w:style>
  <w:style w:type="character" w:customStyle="1" w:styleId="KommentartextZchn1">
    <w:name w:val="Kommentartext Zchn1"/>
    <w:link w:val="Kommentartext"/>
    <w:uiPriority w:val="99"/>
    <w:semiHidden/>
    <w:rPr>
      <w:rFonts w:ascii="Times New Roman" w:eastAsia="Times New Roman" w:hAnsi="Times New Roman" w:cs="Times New Roman"/>
      <w:sz w:val="20"/>
      <w:szCs w:val="20"/>
      <w:lang w:eastAsia="zh-CN"/>
    </w:rPr>
  </w:style>
  <w:style w:type="table" w:customStyle="1" w:styleId="TableGrid">
    <w:name w:val="TableGrid"/>
    <w:pPr>
      <w:spacing w:after="0" w:line="240" w:lineRule="auto"/>
    </w:pPr>
    <w:rPr>
      <w:rFonts w:eastAsiaTheme="minorEastAsia"/>
      <w:lang w:eastAsia="de-DE"/>
    </w:rPr>
    <w:tblPr>
      <w:tblCellMar>
        <w:top w:w="0" w:type="dxa"/>
        <w:left w:w="0" w:type="dxa"/>
        <w:bottom w:w="0" w:type="dxa"/>
        <w:right w:w="0" w:type="dxa"/>
      </w:tblCellMar>
    </w:tblPr>
  </w:style>
  <w:style w:type="paragraph" w:styleId="Textkrper">
    <w:name w:val="Body Text"/>
    <w:basedOn w:val="Standard"/>
    <w:link w:val="TextkrperZchn"/>
    <w:uiPriority w:val="1"/>
    <w:qFormat/>
    <w:pPr>
      <w:widowControl w:val="0"/>
      <w:autoSpaceDE w:val="0"/>
      <w:autoSpaceDN w:val="0"/>
      <w:spacing w:after="0"/>
    </w:pPr>
    <w:rPr>
      <w:rFonts w:ascii="Arial" w:eastAsia="Arial" w:hAnsi="Arial" w:cs="Arial"/>
      <w:lang w:val="en-US"/>
    </w:rPr>
  </w:style>
  <w:style w:type="character" w:customStyle="1" w:styleId="TextkrperZchn">
    <w:name w:val="Textkörper Zchn"/>
    <w:basedOn w:val="Absatz-Standardschriftart"/>
    <w:link w:val="Textkrper"/>
    <w:uiPriority w:val="1"/>
    <w:rPr>
      <w:rFonts w:ascii="Arial" w:eastAsia="Arial" w:hAnsi="Arial" w:cs="Arial"/>
      <w:lang w:val="en-US"/>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uppressAutoHyphens w:val="0"/>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1"/>
    <w:link w:val="Kommentarthema"/>
    <w:uiPriority w:val="99"/>
    <w:semiHidden/>
    <w:rPr>
      <w:rFonts w:ascii="Times New Roman" w:eastAsia="Times New Roman" w:hAnsi="Times New Roman" w:cs="Times New Roman"/>
      <w:b/>
      <w:bCs/>
      <w:sz w:val="20"/>
      <w:szCs w:val="20"/>
      <w:lang w:eastAsia="zh-CN"/>
    </w:rPr>
  </w:style>
  <w:style w:type="character" w:customStyle="1" w:styleId="WW8Num1z0">
    <w:name w:val="WW8Num1z0"/>
    <w:rPr>
      <w:rFonts w:ascii="Arial" w:hAnsi="Arial" w:cs="Arial" w:hint="default"/>
      <w:sz w:val="22"/>
      <w:szCs w:val="22"/>
    </w:rPr>
  </w:style>
  <w:style w:type="character" w:customStyle="1" w:styleId="Kommentarzeichen1">
    <w:name w:val="Kommentarzeichen1"/>
    <w:rPr>
      <w:sz w:val="16"/>
      <w:szCs w:val="16"/>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rPr>
      <w:rFonts w:asciiTheme="majorHAnsi" w:eastAsiaTheme="majorEastAsia" w:hAnsiTheme="majorHAnsi" w:cstheme="majorBidi"/>
      <w:b/>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paragraph" w:styleId="Inhaltsverzeichnisberschrift">
    <w:name w:val="TOC Heading"/>
    <w:basedOn w:val="berschrift1"/>
    <w:next w:val="Standard"/>
    <w:uiPriority w:val="39"/>
    <w:unhideWhenUsed/>
    <w:qFormat/>
    <w:pPr>
      <w:spacing w:after="0" w:line="259" w:lineRule="auto"/>
      <w:jc w:val="left"/>
      <w:outlineLvl w:val="9"/>
    </w:pPr>
    <w:rPr>
      <w:b w:val="0"/>
      <w:color w:val="2E74B5" w:themeColor="accent1" w:themeShade="BF"/>
      <w:sz w:val="32"/>
      <w:lang w:eastAsia="de-DE"/>
    </w:rPr>
  </w:style>
  <w:style w:type="paragraph" w:styleId="Verzeichnis1">
    <w:name w:val="toc 1"/>
    <w:basedOn w:val="Standard"/>
    <w:next w:val="Standard"/>
    <w:autoRedefine/>
    <w:uiPriority w:val="39"/>
    <w:unhideWhenUsed/>
    <w:pPr>
      <w:spacing w:after="100"/>
    </w:pPr>
  </w:style>
  <w:style w:type="character" w:styleId="Hyperlink">
    <w:name w:val="Hyperlink"/>
    <w:basedOn w:val="Absatz-Standardschriftart"/>
    <w:uiPriority w:val="99"/>
    <w:unhideWhenUsed/>
    <w:rPr>
      <w:color w:val="0563C1" w:themeColor="hyperlink"/>
      <w:u w:val="single"/>
    </w:rPr>
  </w:style>
  <w:style w:type="character" w:styleId="Platzhaltertext">
    <w:name w:val="Placeholder Text"/>
    <w:basedOn w:val="Absatz-Standardschriftart"/>
    <w:uiPriority w:val="99"/>
    <w:semiHidden/>
    <w:rPr>
      <w:color w:val="808080"/>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eastAsia="de-DE"/>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724514">
      <w:bodyDiv w:val="1"/>
      <w:marLeft w:val="0"/>
      <w:marRight w:val="0"/>
      <w:marTop w:val="0"/>
      <w:marBottom w:val="0"/>
      <w:divBdr>
        <w:top w:val="none" w:sz="0" w:space="0" w:color="auto"/>
        <w:left w:val="none" w:sz="0" w:space="0" w:color="auto"/>
        <w:bottom w:val="none" w:sz="0" w:space="0" w:color="auto"/>
        <w:right w:val="none" w:sz="0" w:space="0" w:color="auto"/>
      </w:divBdr>
    </w:div>
    <w:div w:id="170763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CA68E-C226-4A00-B90F-1276CEBE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2923</Words>
  <Characters>18419</Characters>
  <Application>Microsoft Office Word</Application>
  <DocSecurity>8</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Stadt Ludwigshafen</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Schneider</dc:creator>
  <cp:lastModifiedBy>Prüfer Bettina</cp:lastModifiedBy>
  <cp:revision>9</cp:revision>
  <cp:lastPrinted>2024-07-19T05:50:00Z</cp:lastPrinted>
  <dcterms:created xsi:type="dcterms:W3CDTF">2026-02-04T13:16:00Z</dcterms:created>
  <dcterms:modified xsi:type="dcterms:W3CDTF">2026-04-09T08:51:00Z</dcterms:modified>
</cp:coreProperties>
</file>